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39" w:rsidRDefault="009A5F39" w:rsidP="00E234EE">
      <w:pPr>
        <w:pStyle w:val="Default"/>
        <w:rPr>
          <w:rFonts w:ascii="Verdana" w:hAnsi="Verdana" w:cs="Verdana"/>
          <w:b/>
          <w:bCs/>
          <w:color w:val="auto"/>
        </w:rPr>
      </w:pPr>
    </w:p>
    <w:p w:rsidR="009A5F39" w:rsidRPr="00896627" w:rsidRDefault="009A5F39" w:rsidP="00E234EE">
      <w:pPr>
        <w:pStyle w:val="Default"/>
        <w:rPr>
          <w:rFonts w:ascii="Verdana" w:hAnsi="Verdana" w:cs="Verdana"/>
          <w:b/>
          <w:bCs/>
          <w:color w:val="auto"/>
          <w:sz w:val="16"/>
          <w:szCs w:val="16"/>
        </w:rPr>
      </w:pPr>
    </w:p>
    <w:p w:rsidR="00E234EE" w:rsidRDefault="00E234EE" w:rsidP="0032107F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BE5F1" w:themeFill="accent1" w:themeFillTint="33"/>
        <w:jc w:val="center"/>
        <w:rPr>
          <w:rFonts w:ascii="Verdana" w:hAnsi="Verdana" w:cs="Verdana"/>
          <w:b/>
          <w:bCs/>
          <w:color w:val="auto"/>
          <w:sz w:val="38"/>
          <w:szCs w:val="38"/>
        </w:rPr>
      </w:pPr>
      <w:r>
        <w:rPr>
          <w:rFonts w:ascii="Verdana" w:hAnsi="Verdana" w:cs="Verdana"/>
          <w:b/>
          <w:bCs/>
          <w:color w:val="auto"/>
          <w:sz w:val="48"/>
          <w:szCs w:val="48"/>
        </w:rPr>
        <w:t>B</w:t>
      </w:r>
      <w:r>
        <w:rPr>
          <w:rFonts w:ascii="Verdana" w:hAnsi="Verdana" w:cs="Verdana"/>
          <w:b/>
          <w:bCs/>
          <w:color w:val="auto"/>
          <w:sz w:val="38"/>
          <w:szCs w:val="38"/>
        </w:rPr>
        <w:t xml:space="preserve">OARD </w:t>
      </w:r>
      <w:r>
        <w:rPr>
          <w:rFonts w:ascii="Verdana" w:hAnsi="Verdana" w:cs="Verdana"/>
          <w:b/>
          <w:bCs/>
          <w:color w:val="auto"/>
          <w:sz w:val="48"/>
          <w:szCs w:val="48"/>
        </w:rPr>
        <w:t>B</w:t>
      </w:r>
      <w:r>
        <w:rPr>
          <w:rFonts w:ascii="Verdana" w:hAnsi="Verdana" w:cs="Verdana"/>
          <w:b/>
          <w:bCs/>
          <w:color w:val="auto"/>
          <w:sz w:val="38"/>
          <w:szCs w:val="38"/>
        </w:rPr>
        <w:t>RIEFS</w:t>
      </w:r>
    </w:p>
    <w:p w:rsidR="0032107F" w:rsidRPr="0032107F" w:rsidRDefault="00BD722A" w:rsidP="0032107F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BE5F1" w:themeFill="accent1" w:themeFillTint="33"/>
        <w:jc w:val="center"/>
        <w:rPr>
          <w:rFonts w:ascii="Verdana" w:hAnsi="Verdana" w:cs="Verdana"/>
          <w:b/>
          <w:bCs/>
          <w:color w:val="auto"/>
          <w:sz w:val="22"/>
          <w:szCs w:val="22"/>
        </w:rPr>
      </w:pPr>
      <w:r>
        <w:rPr>
          <w:rFonts w:ascii="Verdana" w:hAnsi="Verdana" w:cs="Verdana"/>
          <w:b/>
          <w:bCs/>
          <w:color w:val="auto"/>
          <w:sz w:val="22"/>
          <w:szCs w:val="22"/>
        </w:rPr>
        <w:t>REGULAR</w:t>
      </w:r>
      <w:r w:rsidR="0032107F">
        <w:rPr>
          <w:rFonts w:ascii="Verdana" w:hAnsi="Verdana" w:cs="Verdana"/>
          <w:b/>
          <w:bCs/>
          <w:color w:val="auto"/>
          <w:sz w:val="22"/>
          <w:szCs w:val="22"/>
        </w:rPr>
        <w:t xml:space="preserve"> BOARD OF EDUCATION MEETING—</w:t>
      </w:r>
      <w:r w:rsidR="00EA512D">
        <w:rPr>
          <w:rFonts w:ascii="Verdana" w:hAnsi="Verdana" w:cs="Verdana"/>
          <w:b/>
          <w:bCs/>
          <w:color w:val="auto"/>
          <w:sz w:val="22"/>
          <w:szCs w:val="22"/>
        </w:rPr>
        <w:t>June 1</w:t>
      </w:r>
      <w:r w:rsidR="00AD7AA3">
        <w:rPr>
          <w:rFonts w:ascii="Verdana" w:hAnsi="Verdana" w:cs="Verdana"/>
          <w:b/>
          <w:bCs/>
          <w:color w:val="auto"/>
          <w:sz w:val="22"/>
          <w:szCs w:val="22"/>
        </w:rPr>
        <w:t>8</w:t>
      </w:r>
      <w:r w:rsidR="0088136F">
        <w:rPr>
          <w:rFonts w:ascii="Verdana" w:hAnsi="Verdana" w:cs="Verdana"/>
          <w:b/>
          <w:bCs/>
          <w:color w:val="auto"/>
          <w:sz w:val="22"/>
          <w:szCs w:val="22"/>
        </w:rPr>
        <w:t>, 2015</w:t>
      </w:r>
      <w:r w:rsidR="00EA512D">
        <w:rPr>
          <w:rFonts w:ascii="Verdana" w:hAnsi="Verdana" w:cs="Verdana"/>
          <w:b/>
          <w:bCs/>
          <w:color w:val="auto"/>
          <w:sz w:val="22"/>
          <w:szCs w:val="22"/>
        </w:rPr>
        <w:t xml:space="preserve"> 6</w:t>
      </w:r>
      <w:r w:rsidR="0006239F">
        <w:rPr>
          <w:rFonts w:ascii="Verdana" w:hAnsi="Verdana" w:cs="Verdana"/>
          <w:b/>
          <w:bCs/>
          <w:color w:val="auto"/>
          <w:sz w:val="22"/>
          <w:szCs w:val="22"/>
        </w:rPr>
        <w:t>:0</w:t>
      </w:r>
      <w:r w:rsidR="00802F99">
        <w:rPr>
          <w:rFonts w:ascii="Verdana" w:hAnsi="Verdana" w:cs="Verdana"/>
          <w:b/>
          <w:bCs/>
          <w:color w:val="auto"/>
          <w:sz w:val="22"/>
          <w:szCs w:val="22"/>
        </w:rPr>
        <w:t>0</w:t>
      </w:r>
      <w:r w:rsidR="0032107F">
        <w:rPr>
          <w:rFonts w:ascii="Verdana" w:hAnsi="Verdana" w:cs="Verdana"/>
          <w:b/>
          <w:bCs/>
          <w:color w:val="auto"/>
          <w:sz w:val="22"/>
          <w:szCs w:val="22"/>
        </w:rPr>
        <w:t xml:space="preserve"> P.M.</w:t>
      </w:r>
    </w:p>
    <w:p w:rsidR="00BB686B" w:rsidRPr="004F33E3" w:rsidRDefault="00BB686B" w:rsidP="00BB686B">
      <w:pPr>
        <w:pStyle w:val="Default"/>
        <w:rPr>
          <w:color w:val="auto"/>
          <w:sz w:val="18"/>
          <w:szCs w:val="18"/>
        </w:rPr>
      </w:pPr>
    </w:p>
    <w:p w:rsidR="00BB4881" w:rsidRPr="00133266" w:rsidRDefault="00BB686B" w:rsidP="00C57F4D">
      <w:pPr>
        <w:pStyle w:val="Default"/>
        <w:rPr>
          <w:rFonts w:ascii="Verdana" w:hAnsi="Verdana" w:cs="Verdana"/>
          <w:color w:val="auto"/>
          <w:sz w:val="20"/>
          <w:szCs w:val="20"/>
          <w:u w:val="single"/>
        </w:rPr>
      </w:pPr>
      <w:r w:rsidRPr="00133266">
        <w:rPr>
          <w:rFonts w:ascii="Verdana" w:hAnsi="Verdana" w:cs="Verdana"/>
          <w:b/>
          <w:bCs/>
          <w:color w:val="auto"/>
          <w:sz w:val="22"/>
          <w:szCs w:val="22"/>
          <w:u w:val="single"/>
        </w:rPr>
        <w:t>Action Items</w:t>
      </w:r>
      <w:r w:rsidRPr="00133266">
        <w:rPr>
          <w:rFonts w:ascii="Verdana" w:hAnsi="Verdana" w:cs="Verdana"/>
          <w:color w:val="auto"/>
          <w:sz w:val="22"/>
          <w:szCs w:val="22"/>
          <w:u w:val="single"/>
        </w:rPr>
        <w:t>:</w:t>
      </w:r>
    </w:p>
    <w:p w:rsidR="00875890" w:rsidRPr="00700734" w:rsidRDefault="00C57F4D" w:rsidP="00C57F4D">
      <w:pPr>
        <w:pStyle w:val="Default"/>
        <w:rPr>
          <w:rFonts w:cstheme="minorHAnsi"/>
          <w:color w:val="auto"/>
        </w:rPr>
      </w:pPr>
      <w:r w:rsidRPr="00700734">
        <w:rPr>
          <w:rFonts w:cstheme="minorHAnsi"/>
          <w:color w:val="auto"/>
        </w:rPr>
        <w:t>The</w:t>
      </w:r>
      <w:r w:rsidR="00875890" w:rsidRPr="00700734">
        <w:rPr>
          <w:rFonts w:cstheme="minorHAnsi"/>
          <w:color w:val="auto"/>
        </w:rPr>
        <w:t xml:space="preserve"> Board accepted/approved the following items:</w:t>
      </w:r>
    </w:p>
    <w:p w:rsidR="00073C63" w:rsidRPr="00700734" w:rsidRDefault="00363905" w:rsidP="00073C63">
      <w:pPr>
        <w:pStyle w:val="Default"/>
        <w:numPr>
          <w:ilvl w:val="0"/>
          <w:numId w:val="10"/>
        </w:numPr>
        <w:rPr>
          <w:rFonts w:cstheme="minorHAnsi"/>
          <w:color w:val="auto"/>
        </w:rPr>
      </w:pPr>
      <w:r w:rsidRPr="00700734">
        <w:rPr>
          <w:rFonts w:cstheme="minorHAnsi"/>
          <w:color w:val="auto"/>
        </w:rPr>
        <w:t>Minutes from:</w:t>
      </w:r>
      <w:r w:rsidR="00073C63" w:rsidRPr="00700734">
        <w:rPr>
          <w:rFonts w:cstheme="minorHAnsi"/>
          <w:color w:val="auto"/>
        </w:rPr>
        <w:t xml:space="preserve"> Regular Board Meeting</w:t>
      </w:r>
      <w:r w:rsidR="00806854">
        <w:rPr>
          <w:rFonts w:cstheme="minorHAnsi"/>
          <w:color w:val="auto"/>
        </w:rPr>
        <w:t xml:space="preserve"> </w:t>
      </w:r>
      <w:r w:rsidR="00073C63" w:rsidRPr="00700734">
        <w:rPr>
          <w:rFonts w:cstheme="minorHAnsi"/>
          <w:color w:val="auto"/>
        </w:rPr>
        <w:t xml:space="preserve">on </w:t>
      </w:r>
      <w:r w:rsidR="00D76B24">
        <w:rPr>
          <w:rFonts w:cstheme="minorHAnsi"/>
          <w:color w:val="auto"/>
        </w:rPr>
        <w:t>May</w:t>
      </w:r>
      <w:r w:rsidR="00C14DE0">
        <w:rPr>
          <w:rFonts w:cstheme="minorHAnsi"/>
          <w:color w:val="auto"/>
        </w:rPr>
        <w:t xml:space="preserve"> 28</w:t>
      </w:r>
      <w:r w:rsidR="004074A8">
        <w:rPr>
          <w:rFonts w:cstheme="minorHAnsi"/>
          <w:color w:val="auto"/>
        </w:rPr>
        <w:t xml:space="preserve"> </w:t>
      </w:r>
      <w:r w:rsidR="00806854">
        <w:rPr>
          <w:rFonts w:cstheme="minorHAnsi"/>
          <w:color w:val="auto"/>
        </w:rPr>
        <w:t xml:space="preserve">, 2015 </w:t>
      </w:r>
    </w:p>
    <w:p w:rsidR="00073C63" w:rsidRPr="00700734" w:rsidRDefault="005E49CD" w:rsidP="00073C63">
      <w:pPr>
        <w:pStyle w:val="Default"/>
        <w:numPr>
          <w:ilvl w:val="0"/>
          <w:numId w:val="10"/>
        </w:numPr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All </w:t>
      </w:r>
      <w:r w:rsidR="00D76B24">
        <w:rPr>
          <w:rFonts w:cstheme="minorHAnsi"/>
          <w:color w:val="auto"/>
        </w:rPr>
        <w:t>May</w:t>
      </w:r>
      <w:r w:rsidR="00B1758D">
        <w:rPr>
          <w:rFonts w:cstheme="minorHAnsi"/>
          <w:color w:val="auto"/>
        </w:rPr>
        <w:t xml:space="preserve"> </w:t>
      </w:r>
      <w:r w:rsidR="00073C63" w:rsidRPr="00700734">
        <w:rPr>
          <w:rFonts w:cstheme="minorHAnsi"/>
          <w:color w:val="auto"/>
        </w:rPr>
        <w:t>Finance Reports that included-</w:t>
      </w:r>
    </w:p>
    <w:p w:rsidR="00073C63" w:rsidRPr="00700734" w:rsidRDefault="00073C63" w:rsidP="00073C63">
      <w:pPr>
        <w:pStyle w:val="Default"/>
        <w:numPr>
          <w:ilvl w:val="1"/>
          <w:numId w:val="10"/>
        </w:numPr>
        <w:rPr>
          <w:rFonts w:cstheme="minorHAnsi"/>
          <w:color w:val="auto"/>
        </w:rPr>
      </w:pPr>
      <w:r w:rsidRPr="00700734">
        <w:rPr>
          <w:rFonts w:cstheme="minorHAnsi"/>
          <w:color w:val="auto"/>
        </w:rPr>
        <w:t>Accounts payable</w:t>
      </w:r>
    </w:p>
    <w:p w:rsidR="00073C63" w:rsidRPr="00700734" w:rsidRDefault="00073C63" w:rsidP="00073C63">
      <w:pPr>
        <w:pStyle w:val="Default"/>
        <w:numPr>
          <w:ilvl w:val="1"/>
          <w:numId w:val="10"/>
        </w:numPr>
        <w:rPr>
          <w:rFonts w:cstheme="minorHAnsi"/>
          <w:color w:val="auto"/>
        </w:rPr>
      </w:pPr>
      <w:r w:rsidRPr="00700734">
        <w:rPr>
          <w:rFonts w:cstheme="minorHAnsi"/>
          <w:color w:val="auto"/>
        </w:rPr>
        <w:t>Bill List</w:t>
      </w:r>
    </w:p>
    <w:p w:rsidR="00073C63" w:rsidRPr="00700734" w:rsidRDefault="00073C63" w:rsidP="00073C63">
      <w:pPr>
        <w:pStyle w:val="Default"/>
        <w:numPr>
          <w:ilvl w:val="1"/>
          <w:numId w:val="10"/>
        </w:numPr>
        <w:rPr>
          <w:rFonts w:cstheme="minorHAnsi"/>
          <w:color w:val="auto"/>
        </w:rPr>
      </w:pPr>
      <w:r w:rsidRPr="00700734">
        <w:rPr>
          <w:rFonts w:cstheme="minorHAnsi"/>
          <w:color w:val="auto"/>
        </w:rPr>
        <w:t>Treasurer’s Report</w:t>
      </w:r>
    </w:p>
    <w:p w:rsidR="00073C63" w:rsidRPr="00700734" w:rsidRDefault="00073C63" w:rsidP="00073C63">
      <w:pPr>
        <w:pStyle w:val="Default"/>
        <w:numPr>
          <w:ilvl w:val="1"/>
          <w:numId w:val="10"/>
        </w:numPr>
        <w:rPr>
          <w:rFonts w:cstheme="minorHAnsi"/>
          <w:color w:val="auto"/>
        </w:rPr>
      </w:pPr>
      <w:r w:rsidRPr="00700734">
        <w:rPr>
          <w:rFonts w:cstheme="minorHAnsi"/>
          <w:color w:val="auto"/>
        </w:rPr>
        <w:t>Fund Balance Report</w:t>
      </w:r>
    </w:p>
    <w:p w:rsidR="00073C63" w:rsidRPr="00700734" w:rsidRDefault="00073C63" w:rsidP="00073C63">
      <w:pPr>
        <w:pStyle w:val="Default"/>
        <w:numPr>
          <w:ilvl w:val="1"/>
          <w:numId w:val="10"/>
        </w:numPr>
        <w:rPr>
          <w:rFonts w:cstheme="minorHAnsi"/>
          <w:color w:val="auto"/>
        </w:rPr>
      </w:pPr>
      <w:r w:rsidRPr="00700734">
        <w:rPr>
          <w:rFonts w:cstheme="minorHAnsi"/>
          <w:color w:val="auto"/>
        </w:rPr>
        <w:t>Bank Reconciliation</w:t>
      </w:r>
    </w:p>
    <w:p w:rsidR="009A5F39" w:rsidRPr="00263251" w:rsidRDefault="0089488C" w:rsidP="00734F99">
      <w:pPr>
        <w:pStyle w:val="Default"/>
        <w:numPr>
          <w:ilvl w:val="0"/>
          <w:numId w:val="10"/>
        </w:numPr>
        <w:rPr>
          <w:rFonts w:cstheme="minorHAnsi"/>
          <w:color w:val="auto"/>
        </w:rPr>
      </w:pPr>
      <w:r>
        <w:t>Approve</w:t>
      </w:r>
      <w:r w:rsidR="00C14DE0">
        <w:t>d</w:t>
      </w:r>
      <w:r>
        <w:t xml:space="preserve"> Prevailing Wage Resolution for 2015-16 </w:t>
      </w:r>
    </w:p>
    <w:p w:rsidR="00806854" w:rsidRPr="007D0A90" w:rsidRDefault="00263251" w:rsidP="007D0A90">
      <w:pPr>
        <w:pStyle w:val="Default"/>
        <w:numPr>
          <w:ilvl w:val="0"/>
          <w:numId w:val="10"/>
        </w:numPr>
        <w:rPr>
          <w:sz w:val="16"/>
          <w:szCs w:val="16"/>
        </w:rPr>
      </w:pPr>
      <w:r>
        <w:t xml:space="preserve">Approved </w:t>
      </w:r>
      <w:r w:rsidR="0089488C">
        <w:t>Destruction of the following Verbatim tapes:  July 15, 2013 and November 14, 2013</w:t>
      </w:r>
    </w:p>
    <w:p w:rsidR="007D0A90" w:rsidRPr="0089488C" w:rsidRDefault="007D0A90" w:rsidP="007D0A90">
      <w:pPr>
        <w:pStyle w:val="Default"/>
        <w:numPr>
          <w:ilvl w:val="0"/>
          <w:numId w:val="10"/>
        </w:numPr>
        <w:rPr>
          <w:sz w:val="16"/>
          <w:szCs w:val="16"/>
        </w:rPr>
      </w:pPr>
      <w:r>
        <w:t xml:space="preserve">Approved </w:t>
      </w:r>
      <w:r w:rsidR="0089488C">
        <w:t>Closed Session Minutes to Public:  November 13, 2014, February 23, 2015, March 26, 2015</w:t>
      </w:r>
    </w:p>
    <w:p w:rsidR="0089488C" w:rsidRPr="0089488C" w:rsidRDefault="0089488C" w:rsidP="007D0A90">
      <w:pPr>
        <w:pStyle w:val="Default"/>
        <w:numPr>
          <w:ilvl w:val="0"/>
          <w:numId w:val="10"/>
        </w:numPr>
        <w:rPr>
          <w:sz w:val="16"/>
          <w:szCs w:val="16"/>
        </w:rPr>
      </w:pPr>
      <w:r>
        <w:t>Approved FOIA Request from Rossier</w:t>
      </w:r>
    </w:p>
    <w:p w:rsidR="0089488C" w:rsidRPr="0089488C" w:rsidRDefault="0089488C" w:rsidP="007D0A90">
      <w:pPr>
        <w:pStyle w:val="Default"/>
        <w:numPr>
          <w:ilvl w:val="0"/>
          <w:numId w:val="10"/>
        </w:numPr>
        <w:rPr>
          <w:sz w:val="16"/>
          <w:szCs w:val="16"/>
        </w:rPr>
      </w:pPr>
      <w:r>
        <w:t>Approved SASED Articles of Agreement</w:t>
      </w:r>
    </w:p>
    <w:p w:rsidR="0089488C" w:rsidRPr="00133C14" w:rsidRDefault="0089488C" w:rsidP="007D0A90">
      <w:pPr>
        <w:pStyle w:val="Default"/>
        <w:numPr>
          <w:ilvl w:val="0"/>
          <w:numId w:val="10"/>
        </w:numPr>
        <w:rPr>
          <w:sz w:val="16"/>
          <w:szCs w:val="16"/>
        </w:rPr>
      </w:pPr>
      <w:r>
        <w:t>Approve</w:t>
      </w:r>
      <w:r w:rsidR="00133C14">
        <w:t>d</w:t>
      </w:r>
      <w:r>
        <w:t xml:space="preserve"> July Accounts Payable Bills</w:t>
      </w:r>
    </w:p>
    <w:p w:rsidR="00133C14" w:rsidRPr="00133C14" w:rsidRDefault="00133C14" w:rsidP="007D0A90">
      <w:pPr>
        <w:pStyle w:val="Default"/>
        <w:numPr>
          <w:ilvl w:val="0"/>
          <w:numId w:val="10"/>
        </w:numPr>
        <w:rPr>
          <w:sz w:val="16"/>
          <w:szCs w:val="16"/>
        </w:rPr>
      </w:pPr>
      <w:r>
        <w:t>Approved the placement of the 2015-16 Tentative Budget on Public Display</w:t>
      </w:r>
    </w:p>
    <w:p w:rsidR="00133C14" w:rsidRPr="00133C14" w:rsidRDefault="00133C14" w:rsidP="007D0A90">
      <w:pPr>
        <w:pStyle w:val="Default"/>
        <w:numPr>
          <w:ilvl w:val="0"/>
          <w:numId w:val="10"/>
        </w:numPr>
        <w:rPr>
          <w:sz w:val="16"/>
          <w:szCs w:val="16"/>
        </w:rPr>
      </w:pPr>
      <w:r>
        <w:t>Approved Superkids Curriculum</w:t>
      </w:r>
    </w:p>
    <w:p w:rsidR="00133C14" w:rsidRPr="007A36DF" w:rsidRDefault="00133C14" w:rsidP="007D0A90">
      <w:pPr>
        <w:pStyle w:val="Default"/>
        <w:numPr>
          <w:ilvl w:val="0"/>
          <w:numId w:val="10"/>
        </w:numPr>
        <w:rPr>
          <w:sz w:val="16"/>
          <w:szCs w:val="16"/>
        </w:rPr>
      </w:pPr>
      <w:r>
        <w:t>Approved First Reading of Policies: 2:250, 3:40, 3:50, 3:60, 4:45,  5:40, 5:120, 5:180, 5:270, 5:290, 5:330, 6:15, 6:40</w:t>
      </w:r>
    </w:p>
    <w:p w:rsidR="007A36DF" w:rsidRPr="007A36DF" w:rsidRDefault="007A36DF" w:rsidP="007D0A90">
      <w:pPr>
        <w:pStyle w:val="Default"/>
        <w:numPr>
          <w:ilvl w:val="0"/>
          <w:numId w:val="10"/>
        </w:numPr>
      </w:pPr>
      <w:r w:rsidRPr="007A36DF">
        <w:rPr>
          <w:rFonts w:asciiTheme="minorHAnsi" w:hAnsiTheme="minorHAnsi" w:cs="Arial"/>
        </w:rPr>
        <w:t>Approve</w:t>
      </w:r>
      <w:r w:rsidRPr="007A36DF">
        <w:rPr>
          <w:rFonts w:cs="Arial"/>
        </w:rPr>
        <w:t>d</w:t>
      </w:r>
      <w:r w:rsidRPr="007A36DF">
        <w:rPr>
          <w:rFonts w:asciiTheme="minorHAnsi" w:hAnsiTheme="minorHAnsi" w:cs="Arial"/>
        </w:rPr>
        <w:t xml:space="preserve"> Middle Section of Roof Project</w:t>
      </w:r>
    </w:p>
    <w:p w:rsidR="0089488C" w:rsidRPr="00403D42" w:rsidRDefault="0089488C" w:rsidP="00BB686B">
      <w:pPr>
        <w:pStyle w:val="Default"/>
        <w:rPr>
          <w:rFonts w:ascii="Verdana" w:hAnsi="Verdana" w:cs="Verdana"/>
          <w:b/>
          <w:bCs/>
          <w:color w:val="auto"/>
          <w:sz w:val="16"/>
          <w:szCs w:val="16"/>
          <w:u w:val="single"/>
        </w:rPr>
      </w:pPr>
    </w:p>
    <w:p w:rsidR="00F86EB4" w:rsidRDefault="00BB686B" w:rsidP="00BB686B">
      <w:pPr>
        <w:pStyle w:val="Default"/>
        <w:rPr>
          <w:rFonts w:asciiTheme="minorHAnsi" w:hAnsiTheme="minorHAnsi" w:cs="Verdana"/>
          <w:color w:val="auto"/>
          <w:sz w:val="22"/>
          <w:szCs w:val="22"/>
        </w:rPr>
      </w:pPr>
      <w:r w:rsidRPr="00D24C39">
        <w:rPr>
          <w:rFonts w:ascii="Verdana" w:hAnsi="Verdana" w:cs="Verdana"/>
          <w:b/>
          <w:bCs/>
          <w:color w:val="auto"/>
          <w:sz w:val="22"/>
          <w:szCs w:val="22"/>
          <w:u w:val="single"/>
        </w:rPr>
        <w:t>Public Comment</w:t>
      </w:r>
      <w:r w:rsidRPr="0090691C">
        <w:rPr>
          <w:rFonts w:ascii="Verdana" w:hAnsi="Verdana" w:cs="Verdana"/>
          <w:color w:val="auto"/>
          <w:sz w:val="20"/>
          <w:szCs w:val="20"/>
        </w:rPr>
        <w:t>:</w:t>
      </w:r>
      <w:r w:rsidR="00C57F4D" w:rsidRPr="00E5123F"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76764E" w:rsidRDefault="0076764E" w:rsidP="00BB686B">
      <w:pPr>
        <w:pStyle w:val="Default"/>
        <w:rPr>
          <w:rFonts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>Bob Brown, Winfield SD 34 Board of Education President, thanked the District Staff, BOE and Community for their support following the Brown’</w:t>
      </w:r>
      <w:r w:rsidR="007C578C">
        <w:rPr>
          <w:rFonts w:asciiTheme="minorHAnsi" w:hAnsiTheme="minorHAnsi" w:cs="Verdana"/>
          <w:color w:val="auto"/>
          <w:sz w:val="22"/>
          <w:szCs w:val="22"/>
        </w:rPr>
        <w:t>s house fire.  The family is l</w:t>
      </w:r>
      <w:r>
        <w:rPr>
          <w:rFonts w:asciiTheme="minorHAnsi" w:hAnsiTheme="minorHAnsi" w:cs="Verdana"/>
          <w:color w:val="auto"/>
          <w:sz w:val="22"/>
          <w:szCs w:val="22"/>
        </w:rPr>
        <w:t>ooking forward to getting back into their house again this fall.</w:t>
      </w:r>
    </w:p>
    <w:p w:rsidR="00263251" w:rsidRPr="00390553" w:rsidRDefault="00263251" w:rsidP="00073C63">
      <w:pPr>
        <w:pStyle w:val="Default"/>
        <w:rPr>
          <w:rFonts w:ascii="Verdana" w:hAnsi="Verdana" w:cs="Verdana"/>
          <w:b/>
          <w:bCs/>
          <w:color w:val="auto"/>
          <w:sz w:val="16"/>
          <w:szCs w:val="16"/>
          <w:u w:val="single"/>
        </w:rPr>
      </w:pPr>
    </w:p>
    <w:p w:rsidR="00073C63" w:rsidRDefault="00073C63" w:rsidP="00073C63">
      <w:pPr>
        <w:pStyle w:val="Default"/>
        <w:rPr>
          <w:rFonts w:ascii="Verdana" w:hAnsi="Verdana" w:cs="Verdana"/>
          <w:color w:val="auto"/>
          <w:sz w:val="20"/>
          <w:szCs w:val="20"/>
          <w:u w:val="single"/>
        </w:rPr>
      </w:pPr>
      <w:r w:rsidRPr="00133266">
        <w:rPr>
          <w:rFonts w:ascii="Verdana" w:hAnsi="Verdana" w:cs="Verdana"/>
          <w:b/>
          <w:bCs/>
          <w:color w:val="auto"/>
          <w:sz w:val="22"/>
          <w:szCs w:val="22"/>
          <w:u w:val="single"/>
        </w:rPr>
        <w:t>Presentations</w:t>
      </w:r>
      <w:r w:rsidRPr="00133266">
        <w:rPr>
          <w:rFonts w:ascii="Verdana" w:hAnsi="Verdana" w:cs="Verdana"/>
          <w:color w:val="auto"/>
          <w:sz w:val="22"/>
          <w:szCs w:val="22"/>
          <w:u w:val="single"/>
        </w:rPr>
        <w:t>:</w:t>
      </w:r>
      <w:r w:rsidRPr="00133266">
        <w:rPr>
          <w:rFonts w:ascii="Verdana" w:hAnsi="Verdana" w:cs="Verdana"/>
          <w:color w:val="auto"/>
          <w:sz w:val="20"/>
          <w:szCs w:val="20"/>
          <w:u w:val="single"/>
        </w:rPr>
        <w:t xml:space="preserve"> </w:t>
      </w:r>
    </w:p>
    <w:tbl>
      <w:tblPr>
        <w:tblW w:w="4750" w:type="pct"/>
        <w:tblCellSpacing w:w="15" w:type="dxa"/>
        <w:tblInd w:w="6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"/>
        <w:gridCol w:w="8831"/>
      </w:tblGrid>
      <w:tr w:rsidR="00697372" w:rsidTr="00D76B24">
        <w:trPr>
          <w:tblCellSpacing w:w="15" w:type="dxa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697372" w:rsidRDefault="00697372" w:rsidP="007D37DF">
            <w:pPr>
              <w:jc w:val="right"/>
            </w:pPr>
            <w:r>
              <w:t>A.</w:t>
            </w:r>
          </w:p>
        </w:tc>
        <w:tc>
          <w:tcPr>
            <w:tcW w:w="4734" w:type="pct"/>
            <w:tcBorders>
              <w:top w:val="nil"/>
              <w:left w:val="nil"/>
              <w:bottom w:val="nil"/>
              <w:right w:val="nil"/>
            </w:tcBorders>
          </w:tcPr>
          <w:p w:rsidR="00697372" w:rsidRPr="00697372" w:rsidRDefault="00D76B24" w:rsidP="00605E7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None</w:t>
            </w:r>
          </w:p>
        </w:tc>
      </w:tr>
    </w:tbl>
    <w:p w:rsidR="003956B2" w:rsidRPr="0094653E" w:rsidRDefault="003956B2" w:rsidP="009A5A05">
      <w:pPr>
        <w:pStyle w:val="Default"/>
        <w:rPr>
          <w:rFonts w:ascii="Verdana" w:hAnsi="Verdana" w:cs="Verdana"/>
          <w:b/>
          <w:color w:val="auto"/>
          <w:sz w:val="16"/>
          <w:szCs w:val="16"/>
          <w:u w:val="single"/>
        </w:rPr>
      </w:pPr>
    </w:p>
    <w:p w:rsidR="009A5A05" w:rsidRPr="00133266" w:rsidRDefault="009A5A05" w:rsidP="009A5A05">
      <w:pPr>
        <w:pStyle w:val="Default"/>
        <w:rPr>
          <w:rFonts w:ascii="Verdana" w:hAnsi="Verdana" w:cs="Verdana"/>
          <w:b/>
          <w:color w:val="auto"/>
          <w:sz w:val="22"/>
          <w:szCs w:val="22"/>
          <w:u w:val="single"/>
        </w:rPr>
      </w:pPr>
      <w:r w:rsidRPr="00133266">
        <w:rPr>
          <w:rFonts w:ascii="Verdana" w:hAnsi="Verdana" w:cs="Verdana"/>
          <w:b/>
          <w:color w:val="auto"/>
          <w:sz w:val="22"/>
          <w:szCs w:val="22"/>
          <w:u w:val="single"/>
        </w:rPr>
        <w:t>Reports:</w:t>
      </w:r>
    </w:p>
    <w:p w:rsidR="003956B2" w:rsidRPr="0094653E" w:rsidRDefault="003956B2" w:rsidP="0032107F">
      <w:pPr>
        <w:pStyle w:val="Default"/>
        <w:rPr>
          <w:rFonts w:ascii="Verdana" w:hAnsi="Verdana" w:cs="Verdana"/>
          <w:b/>
          <w:color w:val="auto"/>
          <w:sz w:val="16"/>
          <w:szCs w:val="16"/>
        </w:rPr>
      </w:pPr>
    </w:p>
    <w:p w:rsidR="00B649BB" w:rsidRDefault="009A5A05" w:rsidP="0032107F">
      <w:pPr>
        <w:pStyle w:val="Default"/>
        <w:rPr>
          <w:rFonts w:ascii="Verdana" w:hAnsi="Verdana" w:cs="Verdana"/>
          <w:b/>
          <w:color w:val="auto"/>
          <w:sz w:val="20"/>
          <w:szCs w:val="20"/>
        </w:rPr>
      </w:pPr>
      <w:r w:rsidRPr="00133266">
        <w:rPr>
          <w:rFonts w:ascii="Verdana" w:hAnsi="Verdana" w:cs="Verdana"/>
          <w:b/>
          <w:color w:val="auto"/>
          <w:sz w:val="20"/>
          <w:szCs w:val="20"/>
        </w:rPr>
        <w:t xml:space="preserve">From the Superintendent- </w:t>
      </w:r>
    </w:p>
    <w:tbl>
      <w:tblPr>
        <w:tblW w:w="4750" w:type="pct"/>
        <w:tblCellSpacing w:w="15" w:type="dxa"/>
        <w:tblInd w:w="6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"/>
        <w:gridCol w:w="8919"/>
      </w:tblGrid>
      <w:tr w:rsidR="00697372" w:rsidTr="0089488C">
        <w:trPr>
          <w:tblCellSpacing w:w="15" w:type="dxa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697372" w:rsidRDefault="00697372" w:rsidP="007D37DF">
            <w:pPr>
              <w:jc w:val="right"/>
            </w:pPr>
            <w:r>
              <w:t>1.</w:t>
            </w:r>
          </w:p>
        </w:tc>
        <w:tc>
          <w:tcPr>
            <w:tcW w:w="4781" w:type="pct"/>
            <w:tcBorders>
              <w:top w:val="nil"/>
              <w:left w:val="nil"/>
              <w:bottom w:val="nil"/>
              <w:right w:val="nil"/>
            </w:tcBorders>
          </w:tcPr>
          <w:p w:rsidR="00697372" w:rsidRPr="0076764E" w:rsidRDefault="0076764E" w:rsidP="0094653E">
            <w:pPr>
              <w:spacing w:after="0"/>
            </w:pPr>
            <w:r>
              <w:t xml:space="preserve">Thank </w:t>
            </w:r>
            <w:r w:rsidRPr="0076764E">
              <w:t>Cadence for their ongoing financial support of our programs.</w:t>
            </w:r>
          </w:p>
        </w:tc>
      </w:tr>
    </w:tbl>
    <w:p w:rsidR="00B032AB" w:rsidRPr="00B032AB" w:rsidRDefault="00B032AB" w:rsidP="0032107F">
      <w:pPr>
        <w:pStyle w:val="Default"/>
        <w:rPr>
          <w:rFonts w:ascii="Verdana" w:hAnsi="Verdana" w:cs="Verdana"/>
          <w:b/>
          <w:color w:val="auto"/>
          <w:sz w:val="16"/>
          <w:szCs w:val="16"/>
        </w:rPr>
      </w:pPr>
    </w:p>
    <w:p w:rsidR="00F873BD" w:rsidRDefault="00F873BD" w:rsidP="0032107F">
      <w:pPr>
        <w:pStyle w:val="Default"/>
        <w:rPr>
          <w:rFonts w:ascii="Verdana" w:hAnsi="Verdana" w:cs="Verdana"/>
          <w:b/>
          <w:color w:val="auto"/>
          <w:sz w:val="20"/>
          <w:szCs w:val="20"/>
        </w:rPr>
      </w:pPr>
      <w:r w:rsidRPr="00133266">
        <w:rPr>
          <w:rFonts w:ascii="Verdana" w:hAnsi="Verdana" w:cs="Verdana"/>
          <w:b/>
          <w:color w:val="auto"/>
          <w:sz w:val="20"/>
          <w:szCs w:val="20"/>
        </w:rPr>
        <w:t xml:space="preserve">From the </w:t>
      </w:r>
      <w:r>
        <w:rPr>
          <w:rFonts w:ascii="Verdana" w:hAnsi="Verdana" w:cs="Verdana"/>
          <w:b/>
          <w:color w:val="auto"/>
          <w:sz w:val="20"/>
          <w:szCs w:val="20"/>
        </w:rPr>
        <w:t>Director of Business Services</w:t>
      </w:r>
      <w:r w:rsidRPr="00133266">
        <w:rPr>
          <w:rFonts w:ascii="Verdana" w:hAnsi="Verdana" w:cs="Verdana"/>
          <w:b/>
          <w:color w:val="auto"/>
          <w:sz w:val="20"/>
          <w:szCs w:val="20"/>
        </w:rPr>
        <w:t>-</w:t>
      </w:r>
    </w:p>
    <w:tbl>
      <w:tblPr>
        <w:tblW w:w="4750" w:type="pct"/>
        <w:tblCellSpacing w:w="15" w:type="dxa"/>
        <w:tblInd w:w="6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"/>
        <w:gridCol w:w="8831"/>
      </w:tblGrid>
      <w:tr w:rsidR="00697372" w:rsidTr="00697372">
        <w:trPr>
          <w:tblCellSpacing w:w="15" w:type="dxa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697372" w:rsidRDefault="00697372" w:rsidP="007D37DF">
            <w:pPr>
              <w:jc w:val="right"/>
            </w:pPr>
            <w:r>
              <w:lastRenderedPageBreak/>
              <w:t>1.</w:t>
            </w:r>
          </w:p>
        </w:tc>
        <w:tc>
          <w:tcPr>
            <w:tcW w:w="4733" w:type="pct"/>
            <w:tcBorders>
              <w:top w:val="nil"/>
              <w:left w:val="nil"/>
              <w:bottom w:val="nil"/>
              <w:right w:val="nil"/>
            </w:tcBorders>
          </w:tcPr>
          <w:p w:rsidR="00403D42" w:rsidRDefault="00133C14" w:rsidP="003370E5">
            <w:pPr>
              <w:spacing w:after="0"/>
            </w:pPr>
            <w:r w:rsidRPr="00133C14">
              <w:rPr>
                <w:u w:val="single"/>
              </w:rPr>
              <w:t>Approve</w:t>
            </w:r>
            <w:r>
              <w:rPr>
                <w:u w:val="single"/>
              </w:rPr>
              <w:t>d</w:t>
            </w:r>
            <w:r w:rsidRPr="00133C14">
              <w:rPr>
                <w:u w:val="single"/>
              </w:rPr>
              <w:t xml:space="preserve"> the Placement of the 2015-16 Tentative Budget on Public Display</w:t>
            </w:r>
            <w:r w:rsidR="009A6EC5">
              <w:t>- The Board approved the placement of the 2015-16 tentative budget to be placed on public display.</w:t>
            </w:r>
            <w:r w:rsidRPr="009A6EC5">
              <w:t>   </w:t>
            </w:r>
            <w:r w:rsidRPr="00403D42">
              <w:t>          </w:t>
            </w:r>
          </w:p>
          <w:p w:rsidR="00403D42" w:rsidRDefault="00403D42" w:rsidP="003370E5">
            <w:pPr>
              <w:spacing w:after="0"/>
            </w:pPr>
          </w:p>
          <w:p w:rsidR="00A53318" w:rsidRPr="00133C14" w:rsidRDefault="00133C14" w:rsidP="003370E5">
            <w:pPr>
              <w:spacing w:after="0"/>
              <w:rPr>
                <w:u w:val="single"/>
              </w:rPr>
            </w:pPr>
            <w:r w:rsidRPr="00403D42">
              <w:t>   </w:t>
            </w:r>
          </w:p>
        </w:tc>
      </w:tr>
    </w:tbl>
    <w:p w:rsidR="00F873BD" w:rsidRPr="009E3014" w:rsidRDefault="00F873BD" w:rsidP="00F873BD">
      <w:pPr>
        <w:pStyle w:val="Default"/>
        <w:rPr>
          <w:rFonts w:ascii="Verdana" w:hAnsi="Verdana" w:cs="Verdana"/>
          <w:b/>
          <w:color w:val="auto"/>
          <w:sz w:val="20"/>
          <w:szCs w:val="20"/>
          <w:highlight w:val="yellow"/>
        </w:rPr>
      </w:pPr>
      <w:r w:rsidRPr="007D045B">
        <w:rPr>
          <w:rFonts w:ascii="Verdana" w:hAnsi="Verdana" w:cs="Verdana"/>
          <w:b/>
          <w:color w:val="auto"/>
          <w:sz w:val="20"/>
          <w:szCs w:val="20"/>
        </w:rPr>
        <w:t>From the Winfield Education Foundation-</w:t>
      </w:r>
    </w:p>
    <w:tbl>
      <w:tblPr>
        <w:tblW w:w="4727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"/>
        <w:gridCol w:w="8399"/>
        <w:gridCol w:w="550"/>
      </w:tblGrid>
      <w:tr w:rsidR="00B41823" w:rsidTr="00423529">
        <w:trPr>
          <w:trHeight w:val="345"/>
          <w:tblCellSpacing w:w="15" w:type="dxa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B41823" w:rsidRPr="009E3014" w:rsidRDefault="00B41823" w:rsidP="00E96083">
            <w:pPr>
              <w:spacing w:after="0"/>
              <w:jc w:val="right"/>
              <w:rPr>
                <w:highlight w:val="yellow"/>
              </w:rPr>
            </w:pPr>
          </w:p>
        </w:tc>
        <w:tc>
          <w:tcPr>
            <w:tcW w:w="4591" w:type="pct"/>
            <w:tcBorders>
              <w:top w:val="nil"/>
              <w:left w:val="nil"/>
              <w:bottom w:val="nil"/>
              <w:right w:val="nil"/>
            </w:tcBorders>
          </w:tcPr>
          <w:p w:rsidR="00B41823" w:rsidRPr="009E3014" w:rsidRDefault="007D045B" w:rsidP="00C80FA8">
            <w:pPr>
              <w:spacing w:after="0"/>
              <w:rPr>
                <w:highlight w:val="yellow"/>
              </w:rPr>
            </w:pPr>
            <w:r>
              <w:t>None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1823" w:rsidRDefault="00B41823" w:rsidP="00CF3C3B">
            <w:pPr>
              <w:jc w:val="right"/>
            </w:pPr>
          </w:p>
        </w:tc>
      </w:tr>
    </w:tbl>
    <w:p w:rsidR="00896627" w:rsidRPr="00896627" w:rsidRDefault="00896627" w:rsidP="00A71832">
      <w:pPr>
        <w:pStyle w:val="Default"/>
        <w:rPr>
          <w:rFonts w:ascii="Verdana" w:hAnsi="Verdana" w:cs="Verdana"/>
          <w:b/>
          <w:color w:val="auto"/>
          <w:sz w:val="16"/>
          <w:szCs w:val="16"/>
        </w:rPr>
      </w:pPr>
    </w:p>
    <w:p w:rsidR="00B60200" w:rsidRDefault="00A71832" w:rsidP="00A71832">
      <w:pPr>
        <w:pStyle w:val="Default"/>
        <w:rPr>
          <w:rFonts w:ascii="Verdana" w:hAnsi="Verdana" w:cs="Verdana"/>
          <w:b/>
          <w:color w:val="auto"/>
          <w:sz w:val="20"/>
          <w:szCs w:val="20"/>
        </w:rPr>
      </w:pPr>
      <w:r>
        <w:rPr>
          <w:rFonts w:ascii="Verdana" w:hAnsi="Verdana" w:cs="Verdana"/>
          <w:b/>
          <w:color w:val="auto"/>
          <w:sz w:val="20"/>
          <w:szCs w:val="20"/>
        </w:rPr>
        <w:t>Old Business</w:t>
      </w:r>
      <w:r w:rsidRPr="00133266">
        <w:rPr>
          <w:rFonts w:ascii="Verdana" w:hAnsi="Verdana" w:cs="Verdana"/>
          <w:b/>
          <w:color w:val="auto"/>
          <w:sz w:val="20"/>
          <w:szCs w:val="20"/>
        </w:rPr>
        <w:t>-</w:t>
      </w:r>
    </w:p>
    <w:tbl>
      <w:tblPr>
        <w:tblW w:w="4750" w:type="pct"/>
        <w:tblCellSpacing w:w="15" w:type="dxa"/>
        <w:tblInd w:w="6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"/>
        <w:gridCol w:w="8659"/>
        <w:gridCol w:w="333"/>
      </w:tblGrid>
      <w:tr w:rsidR="006E4081" w:rsidTr="00697372">
        <w:trPr>
          <w:tblCellSpacing w:w="15" w:type="dxa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6E4081" w:rsidRDefault="006E4081" w:rsidP="00C308F7">
            <w:pPr>
              <w:jc w:val="right"/>
            </w:pPr>
            <w:r>
              <w:t>A.</w:t>
            </w:r>
          </w:p>
        </w:tc>
        <w:tc>
          <w:tcPr>
            <w:tcW w:w="4711" w:type="pct"/>
            <w:tcBorders>
              <w:top w:val="nil"/>
              <w:left w:val="nil"/>
              <w:bottom w:val="nil"/>
              <w:right w:val="nil"/>
            </w:tcBorders>
          </w:tcPr>
          <w:p w:rsidR="006E4081" w:rsidRPr="009A6EC5" w:rsidRDefault="0089488C" w:rsidP="00152299">
            <w:pPr>
              <w:spacing w:after="0"/>
            </w:pPr>
            <w:r w:rsidRPr="0089488C">
              <w:rPr>
                <w:u w:val="single"/>
              </w:rPr>
              <w:t>Approve</w:t>
            </w:r>
            <w:r>
              <w:rPr>
                <w:u w:val="single"/>
              </w:rPr>
              <w:t>d</w:t>
            </w:r>
            <w:r w:rsidRPr="0089488C">
              <w:rPr>
                <w:u w:val="single"/>
              </w:rPr>
              <w:t xml:space="preserve"> Superkids Curriculum- kindergarten through 2nd Grades</w:t>
            </w:r>
            <w:r w:rsidR="009A6EC5">
              <w:t>-</w:t>
            </w:r>
            <w:r w:rsidR="009A6EC5" w:rsidRPr="00D4408F">
              <w:rPr>
                <w:rFonts w:ascii="Arial" w:hAnsi="Arial" w:cs="Arial"/>
                <w:sz w:val="20"/>
              </w:rPr>
              <w:t xml:space="preserve"> </w:t>
            </w:r>
            <w:r w:rsidR="009A6EC5" w:rsidRPr="009A6EC5">
              <w:rPr>
                <w:rFonts w:cs="Arial"/>
              </w:rPr>
              <w:t>Superkids is a comprehensive kindergarten through 2</w:t>
            </w:r>
            <w:r w:rsidR="009A6EC5" w:rsidRPr="009A6EC5">
              <w:rPr>
                <w:rFonts w:cs="Arial"/>
                <w:vertAlign w:val="superscript"/>
              </w:rPr>
              <w:t>nd</w:t>
            </w:r>
            <w:r w:rsidR="009A6EC5" w:rsidRPr="009A6EC5">
              <w:rPr>
                <w:rFonts w:cs="Arial"/>
              </w:rPr>
              <w:t xml:space="preserve"> grade reading program that is aligned to the Common Core Learning Standards</w:t>
            </w:r>
            <w:r w:rsidR="009A6EC5">
              <w:rPr>
                <w:rFonts w:cs="Arial"/>
              </w:rPr>
              <w:t xml:space="preserve"> that was presented at the May Board meeting.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4081" w:rsidRDefault="006E4081" w:rsidP="00C308F7">
            <w:pPr>
              <w:jc w:val="right"/>
            </w:pPr>
          </w:p>
        </w:tc>
      </w:tr>
      <w:tr w:rsidR="00F81A99" w:rsidTr="00697372">
        <w:trPr>
          <w:tblCellSpacing w:w="15" w:type="dxa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F81A99" w:rsidRDefault="00F81A99" w:rsidP="00C308F7">
            <w:pPr>
              <w:jc w:val="right"/>
            </w:pPr>
            <w:r>
              <w:t>B.</w:t>
            </w:r>
          </w:p>
        </w:tc>
        <w:tc>
          <w:tcPr>
            <w:tcW w:w="4711" w:type="pct"/>
            <w:tcBorders>
              <w:top w:val="nil"/>
              <w:left w:val="nil"/>
              <w:bottom w:val="nil"/>
              <w:right w:val="nil"/>
            </w:tcBorders>
          </w:tcPr>
          <w:p w:rsidR="00B93B99" w:rsidRPr="007A36DF" w:rsidRDefault="00F81A99" w:rsidP="00152299">
            <w:pPr>
              <w:spacing w:after="0"/>
              <w:rPr>
                <w:rFonts w:cs="Arial"/>
              </w:rPr>
            </w:pPr>
            <w:r w:rsidRPr="00B93B99">
              <w:rPr>
                <w:rFonts w:cs="Arial"/>
                <w:u w:val="single"/>
              </w:rPr>
              <w:t>Approve</w:t>
            </w:r>
            <w:r w:rsidR="007A36DF">
              <w:rPr>
                <w:rFonts w:cs="Arial"/>
                <w:u w:val="single"/>
              </w:rPr>
              <w:t>d</w:t>
            </w:r>
            <w:r w:rsidRPr="00B93B99">
              <w:rPr>
                <w:rFonts w:cs="Arial"/>
                <w:u w:val="single"/>
              </w:rPr>
              <w:t xml:space="preserve"> Middle Section of Roof Project</w:t>
            </w:r>
            <w:r w:rsidR="00B93B99" w:rsidRPr="00B93B99">
              <w:rPr>
                <w:rFonts w:cs="Arial"/>
              </w:rPr>
              <w:t>-</w:t>
            </w:r>
            <w:r w:rsidR="00B93B99">
              <w:rPr>
                <w:rFonts w:cs="Arial"/>
              </w:rPr>
              <w:t xml:space="preserve">The </w:t>
            </w:r>
            <w:r w:rsidR="00B93B99" w:rsidRPr="00B93B99">
              <w:rPr>
                <w:rFonts w:cs="Arial"/>
              </w:rPr>
              <w:t>Board of Education approve</w:t>
            </w:r>
            <w:r w:rsidR="007A36DF">
              <w:rPr>
                <w:rFonts w:cs="Arial"/>
              </w:rPr>
              <w:t>d</w:t>
            </w:r>
            <w:r w:rsidR="00B93B99" w:rsidRPr="00B93B99">
              <w:rPr>
                <w:rFonts w:cs="Arial"/>
              </w:rPr>
              <w:t xml:space="preserve"> the $16,000.00 bid to complete the middle section of the Primary east roof.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1A99" w:rsidRDefault="00F81A99" w:rsidP="00C308F7">
            <w:pPr>
              <w:jc w:val="right"/>
            </w:pPr>
          </w:p>
        </w:tc>
      </w:tr>
    </w:tbl>
    <w:p w:rsidR="0089488C" w:rsidRPr="005A7FFD" w:rsidRDefault="0089488C" w:rsidP="00A71832">
      <w:pPr>
        <w:pStyle w:val="Default"/>
        <w:rPr>
          <w:rFonts w:ascii="Verdana" w:hAnsi="Verdana" w:cs="Verdana"/>
          <w:b/>
          <w:color w:val="auto"/>
          <w:sz w:val="16"/>
          <w:szCs w:val="16"/>
        </w:rPr>
      </w:pPr>
    </w:p>
    <w:p w:rsidR="00A71832" w:rsidRPr="00133266" w:rsidRDefault="00A71832" w:rsidP="00A71832">
      <w:pPr>
        <w:pStyle w:val="Default"/>
        <w:rPr>
          <w:rFonts w:ascii="Verdana" w:hAnsi="Verdana" w:cs="Verdana"/>
          <w:b/>
          <w:color w:val="auto"/>
          <w:sz w:val="20"/>
          <w:szCs w:val="20"/>
        </w:rPr>
      </w:pPr>
      <w:r>
        <w:rPr>
          <w:rFonts w:ascii="Verdana" w:hAnsi="Verdana" w:cs="Verdana"/>
          <w:b/>
          <w:color w:val="auto"/>
          <w:sz w:val="20"/>
          <w:szCs w:val="20"/>
        </w:rPr>
        <w:t>New Business</w:t>
      </w:r>
      <w:r w:rsidRPr="00133266">
        <w:rPr>
          <w:rFonts w:ascii="Verdana" w:hAnsi="Verdana" w:cs="Verdana"/>
          <w:b/>
          <w:color w:val="auto"/>
          <w:sz w:val="20"/>
          <w:szCs w:val="20"/>
        </w:rPr>
        <w:t>-</w:t>
      </w:r>
    </w:p>
    <w:tbl>
      <w:tblPr>
        <w:tblW w:w="4750" w:type="pct"/>
        <w:tblCellSpacing w:w="15" w:type="dxa"/>
        <w:tblInd w:w="6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"/>
        <w:gridCol w:w="8992"/>
      </w:tblGrid>
      <w:tr w:rsidR="00697372" w:rsidTr="0089488C">
        <w:trPr>
          <w:trHeight w:val="399"/>
          <w:tblCellSpacing w:w="15" w:type="dxa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697372" w:rsidRDefault="00697372" w:rsidP="007D37DF">
            <w:pPr>
              <w:jc w:val="right"/>
            </w:pPr>
            <w:r>
              <w:t>A.</w:t>
            </w:r>
          </w:p>
        </w:tc>
        <w:tc>
          <w:tcPr>
            <w:tcW w:w="4821" w:type="pct"/>
            <w:tcBorders>
              <w:top w:val="nil"/>
              <w:left w:val="nil"/>
              <w:bottom w:val="nil"/>
              <w:right w:val="nil"/>
            </w:tcBorders>
          </w:tcPr>
          <w:p w:rsidR="00697372" w:rsidRPr="00C26DBE" w:rsidRDefault="00697372" w:rsidP="00C26DBE">
            <w:pPr>
              <w:spacing w:after="0"/>
            </w:pPr>
            <w:r w:rsidRPr="00697372">
              <w:rPr>
                <w:u w:val="single"/>
              </w:rPr>
              <w:t>Items For Future Agendas</w:t>
            </w:r>
            <w:r w:rsidR="00C26DBE" w:rsidRPr="00152299">
              <w:t>-</w:t>
            </w:r>
            <w:r w:rsidR="00C26DBE">
              <w:t xml:space="preserve"> None.</w:t>
            </w:r>
          </w:p>
        </w:tc>
      </w:tr>
      <w:tr w:rsidR="00697372" w:rsidTr="0089488C">
        <w:trPr>
          <w:tblCellSpacing w:w="15" w:type="dxa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697372" w:rsidRDefault="00697372" w:rsidP="007D37DF">
            <w:pPr>
              <w:jc w:val="right"/>
            </w:pPr>
            <w:r>
              <w:t>B.</w:t>
            </w:r>
          </w:p>
        </w:tc>
        <w:tc>
          <w:tcPr>
            <w:tcW w:w="4821" w:type="pct"/>
            <w:tcBorders>
              <w:top w:val="nil"/>
              <w:left w:val="nil"/>
              <w:bottom w:val="nil"/>
              <w:right w:val="nil"/>
            </w:tcBorders>
          </w:tcPr>
          <w:p w:rsidR="00697372" w:rsidRPr="002B54AA" w:rsidRDefault="0089488C" w:rsidP="009A6EC5">
            <w:pPr>
              <w:spacing w:after="0"/>
            </w:pPr>
            <w:r>
              <w:rPr>
                <w:u w:val="single"/>
              </w:rPr>
              <w:t>Approved First Reading of Policies</w:t>
            </w:r>
            <w:r w:rsidR="002B54AA">
              <w:t>-</w:t>
            </w:r>
            <w:r w:rsidR="009A6EC5">
              <w:t xml:space="preserve"> </w:t>
            </w:r>
            <w:r w:rsidR="00D64261" w:rsidRPr="009A6EC5">
              <w:rPr>
                <w:u w:val="single"/>
              </w:rPr>
              <w:t xml:space="preserve">2:250, 3:40, 3:50, 3:60, 4:45, </w:t>
            </w:r>
            <w:r w:rsidRPr="009A6EC5">
              <w:rPr>
                <w:u w:val="single"/>
              </w:rPr>
              <w:t>5:40, 5:120, 5:180, 5:270, 5:290, 5:330, 6:15, 6:40</w:t>
            </w:r>
            <w:r w:rsidR="00493E2F">
              <w:t xml:space="preserve"> </w:t>
            </w:r>
            <w:r w:rsidR="009A6EC5">
              <w:t xml:space="preserve"> The Board reviewed and discussed the policies.</w:t>
            </w:r>
          </w:p>
        </w:tc>
      </w:tr>
    </w:tbl>
    <w:p w:rsidR="004A1C61" w:rsidRDefault="004A1C61" w:rsidP="00493E2F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:rsidR="00D64261" w:rsidRDefault="00D64261" w:rsidP="00F33FA7">
      <w:pPr>
        <w:rPr>
          <w:b/>
        </w:rPr>
      </w:pPr>
    </w:p>
    <w:p w:rsidR="00390553" w:rsidRDefault="00B93B99" w:rsidP="00F33FA7">
      <w:pPr>
        <w:rPr>
          <w:rFonts w:ascii="Verdana" w:hAnsi="Verdana" w:cs="Verdana"/>
          <w:b/>
          <w:bCs/>
          <w:sz w:val="20"/>
          <w:szCs w:val="20"/>
        </w:rPr>
      </w:pPr>
      <w:r>
        <w:rPr>
          <w:b/>
        </w:rPr>
        <w:t>ADJOURN TO CLOSED SESSION  – </w:t>
      </w:r>
      <w:r>
        <w:t> </w:t>
      </w:r>
      <w:r>
        <w:rPr>
          <w:b/>
          <w:u w:val="single"/>
        </w:rPr>
        <w:t>REASON #13.</w:t>
      </w:r>
      <w:r>
        <w:rPr>
          <w:b/>
        </w:rPr>
        <w:t xml:space="preserve"> </w:t>
      </w:r>
      <w:r w:rsidR="00D64261">
        <w:rPr>
          <w:b/>
        </w:rPr>
        <w:t>Self-evaluation, practices and procedures or professional ethics, when meeting with a representative of a statewide association of which the District is a member.  5 ILCS 120/2(c)(16).</w:t>
      </w:r>
      <w:r w:rsidR="00D64261">
        <w:rPr>
          <w:b/>
        </w:rPr>
        <w:br/>
      </w:r>
    </w:p>
    <w:p w:rsidR="009D5DC7" w:rsidRPr="00C25989" w:rsidRDefault="00F33FA7" w:rsidP="00BB686B">
      <w:pPr>
        <w:rPr>
          <w:rFonts w:ascii="Verdana" w:hAnsi="Verdana" w:cs="Verdana"/>
          <w:b/>
          <w:bCs/>
          <w:sz w:val="20"/>
          <w:szCs w:val="20"/>
        </w:rPr>
      </w:pPr>
      <w:r w:rsidRPr="00697797">
        <w:rPr>
          <w:rFonts w:ascii="Verdana" w:hAnsi="Verdana" w:cs="Verdana"/>
          <w:b/>
          <w:bCs/>
          <w:sz w:val="20"/>
          <w:szCs w:val="20"/>
        </w:rPr>
        <w:t xml:space="preserve">The next meeting of the Board will be </w:t>
      </w:r>
      <w:r w:rsidR="006C650E">
        <w:rPr>
          <w:rFonts w:ascii="Verdana" w:hAnsi="Verdana" w:cs="Verdana"/>
          <w:b/>
          <w:bCs/>
          <w:sz w:val="20"/>
          <w:szCs w:val="20"/>
        </w:rPr>
        <w:t>Thursday</w:t>
      </w:r>
      <w:r w:rsidR="002B54AA" w:rsidRPr="00697797">
        <w:rPr>
          <w:rFonts w:ascii="Verdana" w:hAnsi="Verdana" w:cs="Verdana"/>
          <w:b/>
          <w:bCs/>
          <w:sz w:val="20"/>
          <w:szCs w:val="20"/>
        </w:rPr>
        <w:t>,</w:t>
      </w:r>
      <w:r w:rsidR="002B54AA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89488C">
        <w:rPr>
          <w:rFonts w:ascii="Verdana" w:hAnsi="Verdana" w:cs="Verdana"/>
          <w:b/>
          <w:bCs/>
          <w:sz w:val="20"/>
          <w:szCs w:val="20"/>
        </w:rPr>
        <w:t>August 27</w:t>
      </w:r>
      <w:r w:rsidR="006C650E">
        <w:rPr>
          <w:rFonts w:ascii="Verdana" w:hAnsi="Verdana" w:cs="Verdana"/>
          <w:b/>
          <w:bCs/>
          <w:sz w:val="20"/>
          <w:szCs w:val="20"/>
        </w:rPr>
        <w:t>,</w:t>
      </w:r>
      <w:r w:rsidRPr="00697797">
        <w:rPr>
          <w:rFonts w:ascii="Verdana" w:hAnsi="Verdana" w:cs="Verdana"/>
          <w:b/>
          <w:bCs/>
          <w:sz w:val="20"/>
          <w:szCs w:val="20"/>
        </w:rPr>
        <w:t xml:space="preserve"> 201</w:t>
      </w:r>
      <w:r w:rsidR="005D0493">
        <w:rPr>
          <w:rFonts w:ascii="Verdana" w:hAnsi="Verdana" w:cs="Verdana"/>
          <w:b/>
          <w:bCs/>
          <w:sz w:val="20"/>
          <w:szCs w:val="20"/>
        </w:rPr>
        <w:t>5</w:t>
      </w:r>
      <w:r w:rsidRPr="00697797">
        <w:rPr>
          <w:rFonts w:ascii="Verdana" w:hAnsi="Verdana" w:cs="Verdana"/>
          <w:b/>
          <w:bCs/>
          <w:sz w:val="20"/>
          <w:szCs w:val="20"/>
        </w:rPr>
        <w:t xml:space="preserve">, </w:t>
      </w:r>
      <w:r w:rsidR="0089488C">
        <w:rPr>
          <w:rFonts w:ascii="Verdana" w:hAnsi="Verdana" w:cs="Verdana"/>
          <w:b/>
          <w:bCs/>
          <w:sz w:val="20"/>
          <w:szCs w:val="20"/>
        </w:rPr>
        <w:t xml:space="preserve">Budget Hearing at 6:55; </w:t>
      </w:r>
      <w:r>
        <w:rPr>
          <w:rFonts w:ascii="Verdana" w:hAnsi="Verdana" w:cs="Verdana"/>
          <w:b/>
          <w:bCs/>
          <w:sz w:val="20"/>
          <w:szCs w:val="20"/>
        </w:rPr>
        <w:t>Regular</w:t>
      </w:r>
      <w:r w:rsidR="0018595E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Board Meeting </w:t>
      </w:r>
      <w:r w:rsidR="002B54AA">
        <w:rPr>
          <w:rFonts w:ascii="Verdana" w:hAnsi="Verdana" w:cs="Verdana"/>
          <w:b/>
          <w:bCs/>
          <w:sz w:val="20"/>
          <w:szCs w:val="20"/>
        </w:rPr>
        <w:t xml:space="preserve">at </w:t>
      </w:r>
      <w:r w:rsidR="0089488C">
        <w:rPr>
          <w:rFonts w:ascii="Verdana" w:hAnsi="Verdana" w:cs="Verdana"/>
          <w:b/>
          <w:bCs/>
          <w:sz w:val="20"/>
          <w:szCs w:val="20"/>
        </w:rPr>
        <w:t>7</w:t>
      </w:r>
      <w:r w:rsidRPr="00697797">
        <w:rPr>
          <w:rFonts w:ascii="Verdana" w:hAnsi="Verdana" w:cs="Verdana"/>
          <w:b/>
          <w:bCs/>
          <w:sz w:val="20"/>
          <w:szCs w:val="20"/>
        </w:rPr>
        <w:t>:00 p.m.</w:t>
      </w:r>
      <w:r w:rsidR="002B54AA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403D42">
        <w:rPr>
          <w:rFonts w:ascii="Verdana" w:hAnsi="Verdana" w:cs="Verdana"/>
          <w:b/>
          <w:bCs/>
          <w:sz w:val="20"/>
          <w:szCs w:val="20"/>
        </w:rPr>
        <w:t xml:space="preserve"> NOTE:  No meeting in July</w:t>
      </w:r>
    </w:p>
    <w:sectPr w:rsidR="009D5DC7" w:rsidRPr="00C25989" w:rsidSect="001A51D2">
      <w:headerReference w:type="default" r:id="rId9"/>
      <w:pgSz w:w="12240" w:h="15840"/>
      <w:pgMar w:top="1152" w:right="1296" w:bottom="1152" w:left="1296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19" w:rsidRDefault="00250B19" w:rsidP="00C57F4D">
      <w:pPr>
        <w:spacing w:after="0" w:line="240" w:lineRule="auto"/>
      </w:pPr>
      <w:r>
        <w:separator/>
      </w:r>
    </w:p>
  </w:endnote>
  <w:endnote w:type="continuationSeparator" w:id="0">
    <w:p w:rsidR="00250B19" w:rsidRDefault="00250B19" w:rsidP="00C5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-Chan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19" w:rsidRDefault="00250B19" w:rsidP="00C57F4D">
      <w:pPr>
        <w:spacing w:after="0" w:line="240" w:lineRule="auto"/>
      </w:pPr>
      <w:r>
        <w:separator/>
      </w:r>
    </w:p>
  </w:footnote>
  <w:footnote w:type="continuationSeparator" w:id="0">
    <w:p w:rsidR="00250B19" w:rsidRDefault="00250B19" w:rsidP="00C5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EE" w:rsidRDefault="00E234EE">
    <w:r>
      <w:rPr>
        <w:noProof/>
      </w:rPr>
      <w:drawing>
        <wp:anchor distT="0" distB="0" distL="114300" distR="114300" simplePos="0" relativeHeight="251660288" behindDoc="1" locked="0" layoutInCell="1" allowOverlap="1" wp14:anchorId="3EED50D8" wp14:editId="31434084">
          <wp:simplePos x="0" y="0"/>
          <wp:positionH relativeFrom="column">
            <wp:posOffset>198120</wp:posOffset>
          </wp:positionH>
          <wp:positionV relativeFrom="paragraph">
            <wp:posOffset>-441960</wp:posOffset>
          </wp:positionV>
          <wp:extent cx="3215640" cy="609600"/>
          <wp:effectExtent l="0" t="0" r="3810" b="0"/>
          <wp:wrapThrough wrapText="bothSides">
            <wp:wrapPolygon edited="0">
              <wp:start x="16507" y="0"/>
              <wp:lineTo x="15995" y="3375"/>
              <wp:lineTo x="16123" y="10125"/>
              <wp:lineTo x="0" y="11475"/>
              <wp:lineTo x="0" y="18225"/>
              <wp:lineTo x="16251" y="20250"/>
              <wp:lineTo x="20986" y="20250"/>
              <wp:lineTo x="21498" y="17550"/>
              <wp:lineTo x="21498" y="11475"/>
              <wp:lineTo x="20474" y="11475"/>
              <wp:lineTo x="20730" y="2700"/>
              <wp:lineTo x="20218" y="675"/>
              <wp:lineTo x="17659" y="0"/>
              <wp:lineTo x="16507" y="0"/>
            </wp:wrapPolygon>
          </wp:wrapThrough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B19" w:rsidRDefault="00E234EE" w:rsidP="002D2C1D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0EDDD1" wp14:editId="6160A145">
              <wp:simplePos x="0" y="0"/>
              <wp:positionH relativeFrom="margin">
                <wp:posOffset>1862455</wp:posOffset>
              </wp:positionH>
              <wp:positionV relativeFrom="paragraph">
                <wp:posOffset>77470</wp:posOffset>
              </wp:positionV>
              <wp:extent cx="3834130" cy="406400"/>
              <wp:effectExtent l="0" t="0" r="0" b="0"/>
              <wp:wrapNone/>
              <wp:docPr id="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34130" cy="406400"/>
                        <a:chOff x="5707" y="2030"/>
                        <a:chExt cx="6038" cy="640"/>
                      </a:xfrm>
                    </wpg:grpSpPr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707" y="2060"/>
                          <a:ext cx="2098" cy="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EE" w:rsidRPr="001E3093" w:rsidRDefault="00E234EE">
                            <w:pPr>
                              <w:spacing w:after="72" w:line="261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548DD4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1E3093">
                              <w:rPr>
                                <w:rFonts w:ascii="Tahoma" w:hAnsi="Tahoma" w:cs="Tahoma"/>
                                <w:b/>
                                <w:bCs/>
                                <w:color w:val="548DD4"/>
                                <w:spacing w:val="-7"/>
                                <w:sz w:val="18"/>
                                <w:szCs w:val="18"/>
                              </w:rPr>
                              <w:t xml:space="preserve">Winfield Primary School </w:t>
                            </w:r>
                            <w:r w:rsidRPr="001E3093">
                              <w:rPr>
                                <w:rFonts w:ascii="Tahoma" w:hAnsi="Tahoma" w:cs="Tahoma"/>
                                <w:b/>
                                <w:bCs/>
                                <w:color w:val="548DD4"/>
                                <w:spacing w:val="-5"/>
                                <w:sz w:val="18"/>
                                <w:szCs w:val="18"/>
                              </w:rPr>
                              <w:t xml:space="preserve">Winfield Central </w:t>
                            </w:r>
                            <w:r w:rsidRPr="001E3093">
                              <w:rPr>
                                <w:rFonts w:ascii="Arial" w:hAnsi="Arial" w:cs="Arial"/>
                                <w:b/>
                                <w:bCs/>
                                <w:color w:val="548DD4"/>
                                <w:spacing w:val="-5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910" y="2030"/>
                          <a:ext cx="3835" cy="58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4EE" w:rsidRDefault="00E234EE">
                            <w:pPr>
                              <w:spacing w:line="273" w:lineRule="exact"/>
                              <w:rPr>
                                <w:rFonts w:ascii="Tahoma" w:hAnsi="Tahoma" w:cs="Tahoma"/>
                                <w:b/>
                                <w:color w:val="548DD4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548DD4"/>
                                <w:sz w:val="18"/>
                                <w:szCs w:val="18"/>
                              </w:rPr>
                              <w:t>0</w:t>
                            </w:r>
                            <w:r w:rsidRPr="001E3093">
                              <w:rPr>
                                <w:rFonts w:ascii="Tahoma" w:hAnsi="Tahoma" w:cs="Tahoma"/>
                                <w:b/>
                                <w:color w:val="548DD4"/>
                                <w:sz w:val="18"/>
                                <w:szCs w:val="18"/>
                              </w:rPr>
                              <w:t>S15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548DD4"/>
                                <w:sz w:val="18"/>
                                <w:szCs w:val="18"/>
                              </w:rPr>
                              <w:t>0</w:t>
                            </w:r>
                            <w:r w:rsidRPr="001E3093">
                              <w:rPr>
                                <w:rFonts w:ascii="Tahoma" w:hAnsi="Tahoma" w:cs="Tahoma"/>
                                <w:b/>
                                <w:color w:val="548DD4"/>
                                <w:sz w:val="18"/>
                                <w:szCs w:val="18"/>
                              </w:rPr>
                              <w:t xml:space="preserve"> Winfield Road, Winfield, IL 60190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548DD4"/>
                                <w:spacing w:val="2"/>
                                <w:sz w:val="18"/>
                                <w:szCs w:val="18"/>
                              </w:rPr>
                              <w:t>0S150</w:t>
                            </w:r>
                            <w:r w:rsidRPr="001E3093">
                              <w:rPr>
                                <w:rFonts w:ascii="Tahoma" w:hAnsi="Tahoma" w:cs="Tahoma"/>
                                <w:b/>
                                <w:color w:val="548DD4"/>
                                <w:spacing w:val="2"/>
                                <w:sz w:val="18"/>
                                <w:szCs w:val="18"/>
                              </w:rPr>
                              <w:t xml:space="preserve"> Park Street, Winfield, IL 60190</w:t>
                            </w:r>
                          </w:p>
                          <w:p w:rsidR="00B41823" w:rsidRDefault="00B41823">
                            <w:pPr>
                              <w:spacing w:line="273" w:lineRule="exact"/>
                              <w:rPr>
                                <w:rFonts w:ascii="Tahoma" w:hAnsi="Tahoma" w:cs="Tahoma"/>
                                <w:b/>
                                <w:color w:val="548DD4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:rsidR="00E15877" w:rsidRDefault="00E15877">
                            <w:pPr>
                              <w:spacing w:line="273" w:lineRule="exact"/>
                              <w:rPr>
                                <w:rFonts w:ascii="Tahoma" w:hAnsi="Tahoma" w:cs="Tahoma"/>
                                <w:b/>
                                <w:color w:val="548DD4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:rsidR="006541F2" w:rsidRDefault="006541F2">
                            <w:pPr>
                              <w:spacing w:line="273" w:lineRule="exact"/>
                              <w:rPr>
                                <w:rFonts w:ascii="Tahoma" w:hAnsi="Tahoma" w:cs="Tahoma"/>
                                <w:b/>
                                <w:color w:val="548DD4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:rsidR="006541F2" w:rsidRDefault="006541F2">
                            <w:pPr>
                              <w:spacing w:line="273" w:lineRule="exact"/>
                              <w:rPr>
                                <w:rFonts w:ascii="Tahoma" w:hAnsi="Tahoma" w:cs="Tahoma"/>
                                <w:b/>
                                <w:color w:val="548DD4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:rsidR="006541F2" w:rsidRPr="001E3093" w:rsidRDefault="006541F2">
                            <w:pPr>
                              <w:spacing w:line="273" w:lineRule="exact"/>
                              <w:rPr>
                                <w:rFonts w:ascii="Tahoma" w:hAnsi="Tahoma" w:cs="Tahoma"/>
                                <w:b/>
                                <w:color w:val="548DD4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left:0;text-align:left;margin-left:146.65pt;margin-top:6.1pt;width:301.9pt;height:32pt;z-index:251659264;mso-position-horizontal-relative:margin" coordorigin="5707,2030" coordsize="6038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707;top:2060;width:2098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5m74A&#10;AADaAAAADwAAAGRycy9kb3ducmV2LnhtbERPy4rCMBTdC/MP4Q6403QUxtoxig+U2YlVcHtprk1p&#10;c1OaqPXvzWJglofzXqx624gHdb5yrOBrnIAgLpyuuFRwOe9HKQgfkDU2jknBizyslh+DBWbaPflE&#10;jzyUIoawz1CBCaHNpPSFIYt+7FriyN1cZzFE2JVSd/iM4baRkyT5lhYrjg0GW9oaKur8bhVMj5PZ&#10;1R/y3ba90rxO/aa+sVFq+Nmvf0AE6sO/+M/9qxXErfFKv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UuZu+AAAA2gAAAA8AAAAAAAAAAAAAAAAAmAIAAGRycy9kb3ducmV2&#10;LnhtbFBLBQYAAAAABAAEAPUAAACDAwAAAAA=&#10;" stroked="f">
                <v:fill opacity="0"/>
                <v:textbox inset="0,0,0,0">
                  <w:txbxContent>
                    <w:p w:rsidR="00E234EE" w:rsidRPr="001E3093" w:rsidRDefault="00E234EE">
                      <w:pPr>
                        <w:spacing w:after="72" w:line="261" w:lineRule="exact"/>
                        <w:rPr>
                          <w:rFonts w:ascii="Tahoma" w:hAnsi="Tahoma" w:cs="Tahoma"/>
                          <w:b/>
                          <w:bCs/>
                          <w:color w:val="548DD4"/>
                          <w:spacing w:val="-5"/>
                          <w:sz w:val="18"/>
                          <w:szCs w:val="18"/>
                        </w:rPr>
                      </w:pPr>
                      <w:r w:rsidRPr="001E3093">
                        <w:rPr>
                          <w:rFonts w:ascii="Tahoma" w:hAnsi="Tahoma" w:cs="Tahoma"/>
                          <w:b/>
                          <w:bCs/>
                          <w:color w:val="548DD4"/>
                          <w:spacing w:val="-7"/>
                          <w:sz w:val="18"/>
                          <w:szCs w:val="18"/>
                        </w:rPr>
                        <w:t xml:space="preserve">Winfield Primary School </w:t>
                      </w:r>
                      <w:r w:rsidRPr="001E3093">
                        <w:rPr>
                          <w:rFonts w:ascii="Tahoma" w:hAnsi="Tahoma" w:cs="Tahoma"/>
                          <w:b/>
                          <w:bCs/>
                          <w:color w:val="548DD4"/>
                          <w:spacing w:val="-5"/>
                          <w:sz w:val="18"/>
                          <w:szCs w:val="18"/>
                        </w:rPr>
                        <w:t xml:space="preserve">Winfield Central </w:t>
                      </w:r>
                      <w:r w:rsidRPr="001E3093">
                        <w:rPr>
                          <w:rFonts w:ascii="Arial" w:hAnsi="Arial" w:cs="Arial"/>
                          <w:b/>
                          <w:bCs/>
                          <w:color w:val="548DD4"/>
                          <w:spacing w:val="-5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</v:shape>
              <v:shape id="Text Box 4" o:spid="_x0000_s1028" type="#_x0000_t202" style="position:absolute;left:7910;top:2030;width:3835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cAMEA&#10;AADaAAAADwAAAGRycy9kb3ducmV2LnhtbESPT4vCMBTE78J+h/AEb5qq4J+uUVZF8SbWBa+P5tmU&#10;Ni+lidr99hthYY/DzPyGWW06W4sntb50rGA8SkAQ506XXCj4vh6GCxA+IGusHZOCH/KwWX/0Vphq&#10;9+ILPbNQiAhhn6ICE0KTSulzQxb9yDXE0bu71mKIsi2kbvEV4baWkySZSYslxwWDDe0M5VX2sAqm&#10;58n85o/ZftfcaFkt/La6s1Fq0O++PkEE6sJ/+K990gqW8L4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YHADBAAAA2gAAAA8AAAAAAAAAAAAAAAAAmAIAAGRycy9kb3du&#10;cmV2LnhtbFBLBQYAAAAABAAEAPUAAACGAwAAAAA=&#10;" stroked="f">
                <v:fill opacity="0"/>
                <v:textbox inset="0,0,0,0">
                  <w:txbxContent>
                    <w:p w:rsidR="00E234EE" w:rsidRDefault="00E234EE">
                      <w:pPr>
                        <w:spacing w:line="273" w:lineRule="exact"/>
                        <w:rPr>
                          <w:rFonts w:ascii="Tahoma" w:hAnsi="Tahoma" w:cs="Tahoma"/>
                          <w:b/>
                          <w:color w:val="548DD4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548DD4"/>
                          <w:sz w:val="18"/>
                          <w:szCs w:val="18"/>
                        </w:rPr>
                        <w:t>0</w:t>
                      </w:r>
                      <w:r w:rsidRPr="001E3093">
                        <w:rPr>
                          <w:rFonts w:ascii="Tahoma" w:hAnsi="Tahoma" w:cs="Tahoma"/>
                          <w:b/>
                          <w:color w:val="548DD4"/>
                          <w:sz w:val="18"/>
                          <w:szCs w:val="18"/>
                        </w:rPr>
                        <w:t>S15</w:t>
                      </w:r>
                      <w:r>
                        <w:rPr>
                          <w:rFonts w:ascii="Tahoma" w:hAnsi="Tahoma" w:cs="Tahoma"/>
                          <w:b/>
                          <w:color w:val="548DD4"/>
                          <w:sz w:val="18"/>
                          <w:szCs w:val="18"/>
                        </w:rPr>
                        <w:t>0</w:t>
                      </w:r>
                      <w:r w:rsidRPr="001E3093">
                        <w:rPr>
                          <w:rFonts w:ascii="Tahoma" w:hAnsi="Tahoma" w:cs="Tahoma"/>
                          <w:b/>
                          <w:color w:val="548DD4"/>
                          <w:sz w:val="18"/>
                          <w:szCs w:val="18"/>
                        </w:rPr>
                        <w:t xml:space="preserve"> Winfield Road, Winfield, IL 60190 </w:t>
                      </w:r>
                      <w:r>
                        <w:rPr>
                          <w:rFonts w:ascii="Tahoma" w:hAnsi="Tahoma" w:cs="Tahoma"/>
                          <w:b/>
                          <w:color w:val="548DD4"/>
                          <w:spacing w:val="2"/>
                          <w:sz w:val="18"/>
                          <w:szCs w:val="18"/>
                        </w:rPr>
                        <w:t>0S150</w:t>
                      </w:r>
                      <w:r w:rsidRPr="001E3093">
                        <w:rPr>
                          <w:rFonts w:ascii="Tahoma" w:hAnsi="Tahoma" w:cs="Tahoma"/>
                          <w:b/>
                          <w:color w:val="548DD4"/>
                          <w:spacing w:val="2"/>
                          <w:sz w:val="18"/>
                          <w:szCs w:val="18"/>
                        </w:rPr>
                        <w:t xml:space="preserve"> Park Street, Winfield, IL 60190</w:t>
                      </w:r>
                    </w:p>
                    <w:p w:rsidR="00B41823" w:rsidRDefault="00B41823">
                      <w:pPr>
                        <w:spacing w:line="273" w:lineRule="exact"/>
                        <w:rPr>
                          <w:rFonts w:ascii="Tahoma" w:hAnsi="Tahoma" w:cs="Tahoma"/>
                          <w:b/>
                          <w:color w:val="548DD4"/>
                          <w:spacing w:val="2"/>
                          <w:sz w:val="18"/>
                          <w:szCs w:val="18"/>
                        </w:rPr>
                      </w:pPr>
                    </w:p>
                    <w:p w:rsidR="00E15877" w:rsidRDefault="00E15877">
                      <w:pPr>
                        <w:spacing w:line="273" w:lineRule="exact"/>
                        <w:rPr>
                          <w:rFonts w:ascii="Tahoma" w:hAnsi="Tahoma" w:cs="Tahoma"/>
                          <w:b/>
                          <w:color w:val="548DD4"/>
                          <w:spacing w:val="2"/>
                          <w:sz w:val="18"/>
                          <w:szCs w:val="18"/>
                        </w:rPr>
                      </w:pPr>
                    </w:p>
                    <w:p w:rsidR="006541F2" w:rsidRDefault="006541F2">
                      <w:pPr>
                        <w:spacing w:line="273" w:lineRule="exact"/>
                        <w:rPr>
                          <w:rFonts w:ascii="Tahoma" w:hAnsi="Tahoma" w:cs="Tahoma"/>
                          <w:b/>
                          <w:color w:val="548DD4"/>
                          <w:spacing w:val="2"/>
                          <w:sz w:val="18"/>
                          <w:szCs w:val="18"/>
                        </w:rPr>
                      </w:pPr>
                    </w:p>
                    <w:p w:rsidR="006541F2" w:rsidRDefault="006541F2">
                      <w:pPr>
                        <w:spacing w:line="273" w:lineRule="exact"/>
                        <w:rPr>
                          <w:rFonts w:ascii="Tahoma" w:hAnsi="Tahoma" w:cs="Tahoma"/>
                          <w:b/>
                          <w:color w:val="548DD4"/>
                          <w:spacing w:val="2"/>
                          <w:sz w:val="18"/>
                          <w:szCs w:val="18"/>
                        </w:rPr>
                      </w:pPr>
                    </w:p>
                    <w:p w:rsidR="006541F2" w:rsidRPr="001E3093" w:rsidRDefault="006541F2">
                      <w:pPr>
                        <w:spacing w:line="273" w:lineRule="exact"/>
                        <w:rPr>
                          <w:rFonts w:ascii="Tahoma" w:hAnsi="Tahoma" w:cs="Tahoma"/>
                          <w:b/>
                          <w:color w:val="548DD4"/>
                          <w:spacing w:val="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6B2"/>
    <w:multiLevelType w:val="hybridMultilevel"/>
    <w:tmpl w:val="9DD6B6AC"/>
    <w:lvl w:ilvl="0" w:tplc="8480B7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3C9F"/>
    <w:multiLevelType w:val="hybridMultilevel"/>
    <w:tmpl w:val="B48630FA"/>
    <w:lvl w:ilvl="0" w:tplc="61F2F814">
      <w:start w:val="1"/>
      <w:numFmt w:val="decimal"/>
      <w:lvlText w:val="%1."/>
      <w:lvlJc w:val="left"/>
      <w:pPr>
        <w:ind w:left="1195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1047185A"/>
    <w:multiLevelType w:val="hybridMultilevel"/>
    <w:tmpl w:val="8466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732C6"/>
    <w:multiLevelType w:val="multilevel"/>
    <w:tmpl w:val="2CAC3E6E"/>
    <w:lvl w:ilvl="0">
      <w:start w:val="1"/>
      <w:numFmt w:val="upperRoman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136BE7"/>
    <w:multiLevelType w:val="hybridMultilevel"/>
    <w:tmpl w:val="8E62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52D9C"/>
    <w:multiLevelType w:val="hybridMultilevel"/>
    <w:tmpl w:val="CA3A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97E21"/>
    <w:multiLevelType w:val="hybridMultilevel"/>
    <w:tmpl w:val="DE748C66"/>
    <w:lvl w:ilvl="0" w:tplc="B0B47C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62B87"/>
    <w:multiLevelType w:val="hybridMultilevel"/>
    <w:tmpl w:val="2314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07C48"/>
    <w:multiLevelType w:val="hybridMultilevel"/>
    <w:tmpl w:val="37484A76"/>
    <w:lvl w:ilvl="0" w:tplc="7F9295A4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9">
    <w:nsid w:val="37BD7FD3"/>
    <w:multiLevelType w:val="hybridMultilevel"/>
    <w:tmpl w:val="3898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C50D5"/>
    <w:multiLevelType w:val="hybridMultilevel"/>
    <w:tmpl w:val="965A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151CE"/>
    <w:multiLevelType w:val="hybridMultilevel"/>
    <w:tmpl w:val="0064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4750C"/>
    <w:multiLevelType w:val="hybridMultilevel"/>
    <w:tmpl w:val="2A1C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F3A79"/>
    <w:multiLevelType w:val="hybridMultilevel"/>
    <w:tmpl w:val="023AB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9A45CD"/>
    <w:multiLevelType w:val="hybridMultilevel"/>
    <w:tmpl w:val="62B43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41CB5"/>
    <w:multiLevelType w:val="hybridMultilevel"/>
    <w:tmpl w:val="C136B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84C15"/>
    <w:multiLevelType w:val="hybridMultilevel"/>
    <w:tmpl w:val="1A9A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D6B37"/>
    <w:multiLevelType w:val="hybridMultilevel"/>
    <w:tmpl w:val="B3AC69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A3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1ED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89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07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F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1ED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2A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E9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6B"/>
    <w:rsid w:val="00022061"/>
    <w:rsid w:val="00026F82"/>
    <w:rsid w:val="00031D40"/>
    <w:rsid w:val="00036313"/>
    <w:rsid w:val="0003704F"/>
    <w:rsid w:val="00042FC3"/>
    <w:rsid w:val="00047B95"/>
    <w:rsid w:val="00051724"/>
    <w:rsid w:val="00054031"/>
    <w:rsid w:val="0006239F"/>
    <w:rsid w:val="00073C63"/>
    <w:rsid w:val="00082610"/>
    <w:rsid w:val="00085D0A"/>
    <w:rsid w:val="000A1F19"/>
    <w:rsid w:val="000A47A0"/>
    <w:rsid w:val="000A4C2E"/>
    <w:rsid w:val="000D48B4"/>
    <w:rsid w:val="000D5949"/>
    <w:rsid w:val="000D71EC"/>
    <w:rsid w:val="000E38EC"/>
    <w:rsid w:val="000F2A66"/>
    <w:rsid w:val="000F4032"/>
    <w:rsid w:val="000F6E97"/>
    <w:rsid w:val="00100324"/>
    <w:rsid w:val="001157E9"/>
    <w:rsid w:val="00115DE6"/>
    <w:rsid w:val="001162CB"/>
    <w:rsid w:val="0012155E"/>
    <w:rsid w:val="00121829"/>
    <w:rsid w:val="00126CDD"/>
    <w:rsid w:val="0013096D"/>
    <w:rsid w:val="00133266"/>
    <w:rsid w:val="00133C14"/>
    <w:rsid w:val="0013682E"/>
    <w:rsid w:val="001446D7"/>
    <w:rsid w:val="00152299"/>
    <w:rsid w:val="001543A8"/>
    <w:rsid w:val="001560A9"/>
    <w:rsid w:val="001619BF"/>
    <w:rsid w:val="0016506A"/>
    <w:rsid w:val="00166B51"/>
    <w:rsid w:val="0017715C"/>
    <w:rsid w:val="00180724"/>
    <w:rsid w:val="001831AD"/>
    <w:rsid w:val="0018595E"/>
    <w:rsid w:val="00185C2D"/>
    <w:rsid w:val="001919F3"/>
    <w:rsid w:val="001943F7"/>
    <w:rsid w:val="00197414"/>
    <w:rsid w:val="001A4952"/>
    <w:rsid w:val="001A51D2"/>
    <w:rsid w:val="001C18F7"/>
    <w:rsid w:val="001C1A10"/>
    <w:rsid w:val="001C2860"/>
    <w:rsid w:val="001C502E"/>
    <w:rsid w:val="001D208A"/>
    <w:rsid w:val="001D524E"/>
    <w:rsid w:val="001E2D76"/>
    <w:rsid w:val="0020339D"/>
    <w:rsid w:val="002117C0"/>
    <w:rsid w:val="0021431B"/>
    <w:rsid w:val="002171C2"/>
    <w:rsid w:val="00221F58"/>
    <w:rsid w:val="002236FB"/>
    <w:rsid w:val="00225487"/>
    <w:rsid w:val="0022615C"/>
    <w:rsid w:val="00240B94"/>
    <w:rsid w:val="00250B19"/>
    <w:rsid w:val="002557EC"/>
    <w:rsid w:val="002576A4"/>
    <w:rsid w:val="00263251"/>
    <w:rsid w:val="002637AC"/>
    <w:rsid w:val="00263C23"/>
    <w:rsid w:val="00264CA1"/>
    <w:rsid w:val="00274B2C"/>
    <w:rsid w:val="002811C3"/>
    <w:rsid w:val="00287596"/>
    <w:rsid w:val="002944BD"/>
    <w:rsid w:val="002945E8"/>
    <w:rsid w:val="00295A26"/>
    <w:rsid w:val="00297CAA"/>
    <w:rsid w:val="002B023A"/>
    <w:rsid w:val="002B54AA"/>
    <w:rsid w:val="002B5784"/>
    <w:rsid w:val="002B6DD0"/>
    <w:rsid w:val="002B7668"/>
    <w:rsid w:val="002C0FBF"/>
    <w:rsid w:val="002C328D"/>
    <w:rsid w:val="002D2C1D"/>
    <w:rsid w:val="002D35AD"/>
    <w:rsid w:val="002F6A51"/>
    <w:rsid w:val="00302DA5"/>
    <w:rsid w:val="00310012"/>
    <w:rsid w:val="00311E44"/>
    <w:rsid w:val="00314733"/>
    <w:rsid w:val="0032107F"/>
    <w:rsid w:val="00327C4E"/>
    <w:rsid w:val="003370E5"/>
    <w:rsid w:val="0034243B"/>
    <w:rsid w:val="0034543D"/>
    <w:rsid w:val="00347749"/>
    <w:rsid w:val="0035017A"/>
    <w:rsid w:val="00363037"/>
    <w:rsid w:val="00363905"/>
    <w:rsid w:val="0037130B"/>
    <w:rsid w:val="00371E36"/>
    <w:rsid w:val="00380F66"/>
    <w:rsid w:val="00385615"/>
    <w:rsid w:val="00390553"/>
    <w:rsid w:val="0039092D"/>
    <w:rsid w:val="003956B2"/>
    <w:rsid w:val="00396845"/>
    <w:rsid w:val="00396A69"/>
    <w:rsid w:val="003A08A1"/>
    <w:rsid w:val="003B0187"/>
    <w:rsid w:val="003B130D"/>
    <w:rsid w:val="003E4570"/>
    <w:rsid w:val="003E52ED"/>
    <w:rsid w:val="003E6E2F"/>
    <w:rsid w:val="003F0458"/>
    <w:rsid w:val="003F3491"/>
    <w:rsid w:val="003F4288"/>
    <w:rsid w:val="003F491B"/>
    <w:rsid w:val="004034EB"/>
    <w:rsid w:val="00403D42"/>
    <w:rsid w:val="00405C33"/>
    <w:rsid w:val="0040647F"/>
    <w:rsid w:val="004074A8"/>
    <w:rsid w:val="00407ED0"/>
    <w:rsid w:val="0041236A"/>
    <w:rsid w:val="00414CA4"/>
    <w:rsid w:val="0042262B"/>
    <w:rsid w:val="00423529"/>
    <w:rsid w:val="00425AC2"/>
    <w:rsid w:val="004269F4"/>
    <w:rsid w:val="00440B81"/>
    <w:rsid w:val="00463B38"/>
    <w:rsid w:val="00473736"/>
    <w:rsid w:val="0048225C"/>
    <w:rsid w:val="00482B3B"/>
    <w:rsid w:val="00493E2F"/>
    <w:rsid w:val="004A05DC"/>
    <w:rsid w:val="004A1C61"/>
    <w:rsid w:val="004A7A11"/>
    <w:rsid w:val="004B4489"/>
    <w:rsid w:val="004B60BA"/>
    <w:rsid w:val="004C32AC"/>
    <w:rsid w:val="004D61C3"/>
    <w:rsid w:val="004E12EC"/>
    <w:rsid w:val="004E2C9B"/>
    <w:rsid w:val="004E60FA"/>
    <w:rsid w:val="004F33E3"/>
    <w:rsid w:val="004F599F"/>
    <w:rsid w:val="00502B0B"/>
    <w:rsid w:val="00507EBE"/>
    <w:rsid w:val="00513882"/>
    <w:rsid w:val="00521375"/>
    <w:rsid w:val="005213C1"/>
    <w:rsid w:val="005245EE"/>
    <w:rsid w:val="005300D3"/>
    <w:rsid w:val="005339D1"/>
    <w:rsid w:val="00545653"/>
    <w:rsid w:val="00547DA8"/>
    <w:rsid w:val="00554015"/>
    <w:rsid w:val="005704A9"/>
    <w:rsid w:val="00571723"/>
    <w:rsid w:val="00583FF9"/>
    <w:rsid w:val="00591AED"/>
    <w:rsid w:val="005A3E4A"/>
    <w:rsid w:val="005A6318"/>
    <w:rsid w:val="005A7FFD"/>
    <w:rsid w:val="005B10B7"/>
    <w:rsid w:val="005B2853"/>
    <w:rsid w:val="005B39C8"/>
    <w:rsid w:val="005B39F3"/>
    <w:rsid w:val="005C453B"/>
    <w:rsid w:val="005C4D44"/>
    <w:rsid w:val="005C73FD"/>
    <w:rsid w:val="005D0493"/>
    <w:rsid w:val="005D08D2"/>
    <w:rsid w:val="005E07B6"/>
    <w:rsid w:val="005E320C"/>
    <w:rsid w:val="005E49CD"/>
    <w:rsid w:val="005E5E6A"/>
    <w:rsid w:val="005F0A22"/>
    <w:rsid w:val="005F2915"/>
    <w:rsid w:val="00605107"/>
    <w:rsid w:val="00605E72"/>
    <w:rsid w:val="00612545"/>
    <w:rsid w:val="00616E21"/>
    <w:rsid w:val="00617A37"/>
    <w:rsid w:val="00637596"/>
    <w:rsid w:val="006454F0"/>
    <w:rsid w:val="00647575"/>
    <w:rsid w:val="006476D8"/>
    <w:rsid w:val="00651DE4"/>
    <w:rsid w:val="006541F2"/>
    <w:rsid w:val="00663FFD"/>
    <w:rsid w:val="00665C4A"/>
    <w:rsid w:val="006752D3"/>
    <w:rsid w:val="00675AAB"/>
    <w:rsid w:val="0067608A"/>
    <w:rsid w:val="006822A6"/>
    <w:rsid w:val="00691BCE"/>
    <w:rsid w:val="006964A2"/>
    <w:rsid w:val="00697372"/>
    <w:rsid w:val="00697797"/>
    <w:rsid w:val="00697872"/>
    <w:rsid w:val="006B128B"/>
    <w:rsid w:val="006B322A"/>
    <w:rsid w:val="006B7C40"/>
    <w:rsid w:val="006C013E"/>
    <w:rsid w:val="006C110C"/>
    <w:rsid w:val="006C2A45"/>
    <w:rsid w:val="006C650E"/>
    <w:rsid w:val="006D2D30"/>
    <w:rsid w:val="006D6AA7"/>
    <w:rsid w:val="006E0C20"/>
    <w:rsid w:val="006E395D"/>
    <w:rsid w:val="006E4081"/>
    <w:rsid w:val="006E6624"/>
    <w:rsid w:val="006F4E04"/>
    <w:rsid w:val="006F648C"/>
    <w:rsid w:val="006F67D3"/>
    <w:rsid w:val="00700734"/>
    <w:rsid w:val="007019F7"/>
    <w:rsid w:val="00704DE9"/>
    <w:rsid w:val="00734F99"/>
    <w:rsid w:val="007405D4"/>
    <w:rsid w:val="00742AC3"/>
    <w:rsid w:val="0074460C"/>
    <w:rsid w:val="007552EC"/>
    <w:rsid w:val="0076764E"/>
    <w:rsid w:val="00770504"/>
    <w:rsid w:val="00771DAF"/>
    <w:rsid w:val="00786155"/>
    <w:rsid w:val="00794303"/>
    <w:rsid w:val="00797A70"/>
    <w:rsid w:val="007A1029"/>
    <w:rsid w:val="007A36DF"/>
    <w:rsid w:val="007A4C4A"/>
    <w:rsid w:val="007B5E56"/>
    <w:rsid w:val="007C044B"/>
    <w:rsid w:val="007C39A8"/>
    <w:rsid w:val="007C578C"/>
    <w:rsid w:val="007C644C"/>
    <w:rsid w:val="007D045B"/>
    <w:rsid w:val="007D0A90"/>
    <w:rsid w:val="007D146A"/>
    <w:rsid w:val="007D1889"/>
    <w:rsid w:val="007E5E87"/>
    <w:rsid w:val="007E7BB6"/>
    <w:rsid w:val="007F2A9F"/>
    <w:rsid w:val="007F434A"/>
    <w:rsid w:val="00802F99"/>
    <w:rsid w:val="00806854"/>
    <w:rsid w:val="0081199B"/>
    <w:rsid w:val="00811BF6"/>
    <w:rsid w:val="00822AB7"/>
    <w:rsid w:val="00825EBD"/>
    <w:rsid w:val="00833D90"/>
    <w:rsid w:val="00836E15"/>
    <w:rsid w:val="00857466"/>
    <w:rsid w:val="00860A3B"/>
    <w:rsid w:val="008625C8"/>
    <w:rsid w:val="00872E1D"/>
    <w:rsid w:val="00873652"/>
    <w:rsid w:val="00873857"/>
    <w:rsid w:val="00875890"/>
    <w:rsid w:val="00880CF8"/>
    <w:rsid w:val="0088136F"/>
    <w:rsid w:val="0088490F"/>
    <w:rsid w:val="00884940"/>
    <w:rsid w:val="0089488C"/>
    <w:rsid w:val="00896627"/>
    <w:rsid w:val="008A06E9"/>
    <w:rsid w:val="008A29C8"/>
    <w:rsid w:val="008B05CC"/>
    <w:rsid w:val="008B18E2"/>
    <w:rsid w:val="008B4EDF"/>
    <w:rsid w:val="008B7A74"/>
    <w:rsid w:val="008C2777"/>
    <w:rsid w:val="008C453B"/>
    <w:rsid w:val="008C7784"/>
    <w:rsid w:val="008D14B0"/>
    <w:rsid w:val="008D2B35"/>
    <w:rsid w:val="008E52E2"/>
    <w:rsid w:val="008F16F2"/>
    <w:rsid w:val="008F641B"/>
    <w:rsid w:val="009014F6"/>
    <w:rsid w:val="0090691C"/>
    <w:rsid w:val="00914636"/>
    <w:rsid w:val="009207DB"/>
    <w:rsid w:val="0092113F"/>
    <w:rsid w:val="0092503B"/>
    <w:rsid w:val="00926286"/>
    <w:rsid w:val="00926451"/>
    <w:rsid w:val="0094653E"/>
    <w:rsid w:val="00947C34"/>
    <w:rsid w:val="00954F1B"/>
    <w:rsid w:val="009607DB"/>
    <w:rsid w:val="00962457"/>
    <w:rsid w:val="00966907"/>
    <w:rsid w:val="009A5A05"/>
    <w:rsid w:val="009A5F39"/>
    <w:rsid w:val="009A6EC5"/>
    <w:rsid w:val="009B5D12"/>
    <w:rsid w:val="009C2B61"/>
    <w:rsid w:val="009C48D9"/>
    <w:rsid w:val="009C4D8D"/>
    <w:rsid w:val="009C6EE2"/>
    <w:rsid w:val="009D5DC7"/>
    <w:rsid w:val="009D5FD7"/>
    <w:rsid w:val="009E3014"/>
    <w:rsid w:val="009F7540"/>
    <w:rsid w:val="00A024B6"/>
    <w:rsid w:val="00A03978"/>
    <w:rsid w:val="00A04D45"/>
    <w:rsid w:val="00A04DA2"/>
    <w:rsid w:val="00A068CB"/>
    <w:rsid w:val="00A1244F"/>
    <w:rsid w:val="00A16026"/>
    <w:rsid w:val="00A23231"/>
    <w:rsid w:val="00A3159A"/>
    <w:rsid w:val="00A32A20"/>
    <w:rsid w:val="00A3384E"/>
    <w:rsid w:val="00A50120"/>
    <w:rsid w:val="00A53318"/>
    <w:rsid w:val="00A5392F"/>
    <w:rsid w:val="00A605EE"/>
    <w:rsid w:val="00A62C58"/>
    <w:rsid w:val="00A70489"/>
    <w:rsid w:val="00A71832"/>
    <w:rsid w:val="00A808EE"/>
    <w:rsid w:val="00A90A4F"/>
    <w:rsid w:val="00A90AA9"/>
    <w:rsid w:val="00AA1379"/>
    <w:rsid w:val="00AB050A"/>
    <w:rsid w:val="00AB2CFC"/>
    <w:rsid w:val="00AB6639"/>
    <w:rsid w:val="00AC38FC"/>
    <w:rsid w:val="00AC395C"/>
    <w:rsid w:val="00AC5B9E"/>
    <w:rsid w:val="00AC7643"/>
    <w:rsid w:val="00AC76AA"/>
    <w:rsid w:val="00AD005C"/>
    <w:rsid w:val="00AD7AA3"/>
    <w:rsid w:val="00AE392B"/>
    <w:rsid w:val="00AE6E36"/>
    <w:rsid w:val="00AF75F0"/>
    <w:rsid w:val="00B032AB"/>
    <w:rsid w:val="00B1102B"/>
    <w:rsid w:val="00B128A2"/>
    <w:rsid w:val="00B14504"/>
    <w:rsid w:val="00B157B1"/>
    <w:rsid w:val="00B1758D"/>
    <w:rsid w:val="00B310C3"/>
    <w:rsid w:val="00B407B9"/>
    <w:rsid w:val="00B41823"/>
    <w:rsid w:val="00B553E7"/>
    <w:rsid w:val="00B5681E"/>
    <w:rsid w:val="00B60200"/>
    <w:rsid w:val="00B6222E"/>
    <w:rsid w:val="00B649BB"/>
    <w:rsid w:val="00B72C64"/>
    <w:rsid w:val="00B732B9"/>
    <w:rsid w:val="00B777B6"/>
    <w:rsid w:val="00B84CC2"/>
    <w:rsid w:val="00B875EA"/>
    <w:rsid w:val="00B93B99"/>
    <w:rsid w:val="00B93F43"/>
    <w:rsid w:val="00BA03AE"/>
    <w:rsid w:val="00BA34DC"/>
    <w:rsid w:val="00BB41D7"/>
    <w:rsid w:val="00BB4881"/>
    <w:rsid w:val="00BB686B"/>
    <w:rsid w:val="00BC22B8"/>
    <w:rsid w:val="00BD0FAB"/>
    <w:rsid w:val="00BD25B9"/>
    <w:rsid w:val="00BD3FD6"/>
    <w:rsid w:val="00BD722A"/>
    <w:rsid w:val="00BE045F"/>
    <w:rsid w:val="00BE13FA"/>
    <w:rsid w:val="00BE1492"/>
    <w:rsid w:val="00BE5A04"/>
    <w:rsid w:val="00BF4616"/>
    <w:rsid w:val="00C031A4"/>
    <w:rsid w:val="00C03545"/>
    <w:rsid w:val="00C03AEF"/>
    <w:rsid w:val="00C0659A"/>
    <w:rsid w:val="00C10314"/>
    <w:rsid w:val="00C1083E"/>
    <w:rsid w:val="00C131EC"/>
    <w:rsid w:val="00C14213"/>
    <w:rsid w:val="00C14DE0"/>
    <w:rsid w:val="00C225B3"/>
    <w:rsid w:val="00C241F1"/>
    <w:rsid w:val="00C25989"/>
    <w:rsid w:val="00C26DBE"/>
    <w:rsid w:val="00C34E5D"/>
    <w:rsid w:val="00C43A67"/>
    <w:rsid w:val="00C57F4D"/>
    <w:rsid w:val="00C7064F"/>
    <w:rsid w:val="00C72102"/>
    <w:rsid w:val="00C721D4"/>
    <w:rsid w:val="00C74E75"/>
    <w:rsid w:val="00C80FA8"/>
    <w:rsid w:val="00C94340"/>
    <w:rsid w:val="00C949A4"/>
    <w:rsid w:val="00CA187B"/>
    <w:rsid w:val="00CA52A6"/>
    <w:rsid w:val="00CA5A61"/>
    <w:rsid w:val="00CC4D9F"/>
    <w:rsid w:val="00CD22B6"/>
    <w:rsid w:val="00CD28D6"/>
    <w:rsid w:val="00CD4FB8"/>
    <w:rsid w:val="00CD59E4"/>
    <w:rsid w:val="00CE15DE"/>
    <w:rsid w:val="00CE7F01"/>
    <w:rsid w:val="00CF54D1"/>
    <w:rsid w:val="00CF734D"/>
    <w:rsid w:val="00D073DA"/>
    <w:rsid w:val="00D11544"/>
    <w:rsid w:val="00D15B59"/>
    <w:rsid w:val="00D24C39"/>
    <w:rsid w:val="00D25F6D"/>
    <w:rsid w:val="00D3174B"/>
    <w:rsid w:val="00D31BFB"/>
    <w:rsid w:val="00D43C16"/>
    <w:rsid w:val="00D44536"/>
    <w:rsid w:val="00D64261"/>
    <w:rsid w:val="00D646D6"/>
    <w:rsid w:val="00D657B4"/>
    <w:rsid w:val="00D76B24"/>
    <w:rsid w:val="00D8450A"/>
    <w:rsid w:val="00D85AB9"/>
    <w:rsid w:val="00D85FA4"/>
    <w:rsid w:val="00DA2E57"/>
    <w:rsid w:val="00DC03D2"/>
    <w:rsid w:val="00DD0C38"/>
    <w:rsid w:val="00DD6ABE"/>
    <w:rsid w:val="00DD6E39"/>
    <w:rsid w:val="00DE7E05"/>
    <w:rsid w:val="00DF3EE8"/>
    <w:rsid w:val="00DF665A"/>
    <w:rsid w:val="00E00B1D"/>
    <w:rsid w:val="00E06CAF"/>
    <w:rsid w:val="00E13069"/>
    <w:rsid w:val="00E150FC"/>
    <w:rsid w:val="00E15877"/>
    <w:rsid w:val="00E234EE"/>
    <w:rsid w:val="00E23C7C"/>
    <w:rsid w:val="00E25677"/>
    <w:rsid w:val="00E341CF"/>
    <w:rsid w:val="00E44CD1"/>
    <w:rsid w:val="00E47088"/>
    <w:rsid w:val="00E5123F"/>
    <w:rsid w:val="00E6003E"/>
    <w:rsid w:val="00E61599"/>
    <w:rsid w:val="00E648F5"/>
    <w:rsid w:val="00E66B1D"/>
    <w:rsid w:val="00E66E6B"/>
    <w:rsid w:val="00E7199E"/>
    <w:rsid w:val="00E752E8"/>
    <w:rsid w:val="00E879EC"/>
    <w:rsid w:val="00E902C2"/>
    <w:rsid w:val="00E93E10"/>
    <w:rsid w:val="00E96083"/>
    <w:rsid w:val="00EA4AD8"/>
    <w:rsid w:val="00EA512D"/>
    <w:rsid w:val="00EB10C1"/>
    <w:rsid w:val="00EB7F6A"/>
    <w:rsid w:val="00EC1249"/>
    <w:rsid w:val="00EC4769"/>
    <w:rsid w:val="00EC57A3"/>
    <w:rsid w:val="00ED1139"/>
    <w:rsid w:val="00ED2D04"/>
    <w:rsid w:val="00EE2CBD"/>
    <w:rsid w:val="00EE4D1E"/>
    <w:rsid w:val="00EF14B9"/>
    <w:rsid w:val="00EF3BBE"/>
    <w:rsid w:val="00F00A04"/>
    <w:rsid w:val="00F058CA"/>
    <w:rsid w:val="00F12D9F"/>
    <w:rsid w:val="00F15106"/>
    <w:rsid w:val="00F1632C"/>
    <w:rsid w:val="00F219DA"/>
    <w:rsid w:val="00F22B43"/>
    <w:rsid w:val="00F244FB"/>
    <w:rsid w:val="00F30497"/>
    <w:rsid w:val="00F30622"/>
    <w:rsid w:val="00F30B01"/>
    <w:rsid w:val="00F33FA7"/>
    <w:rsid w:val="00F35BE5"/>
    <w:rsid w:val="00F376FC"/>
    <w:rsid w:val="00F517CB"/>
    <w:rsid w:val="00F60750"/>
    <w:rsid w:val="00F63221"/>
    <w:rsid w:val="00F64605"/>
    <w:rsid w:val="00F67CF6"/>
    <w:rsid w:val="00F702A8"/>
    <w:rsid w:val="00F70997"/>
    <w:rsid w:val="00F751B8"/>
    <w:rsid w:val="00F81A99"/>
    <w:rsid w:val="00F8370E"/>
    <w:rsid w:val="00F86EB4"/>
    <w:rsid w:val="00F873BD"/>
    <w:rsid w:val="00F87D33"/>
    <w:rsid w:val="00F90F95"/>
    <w:rsid w:val="00F954F6"/>
    <w:rsid w:val="00FA05AA"/>
    <w:rsid w:val="00FA0608"/>
    <w:rsid w:val="00FB52D3"/>
    <w:rsid w:val="00FD0186"/>
    <w:rsid w:val="00FE0F3E"/>
    <w:rsid w:val="00FE3B31"/>
    <w:rsid w:val="00FE486C"/>
    <w:rsid w:val="00FE7483"/>
    <w:rsid w:val="00FF06B9"/>
    <w:rsid w:val="00FF118A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B4"/>
  </w:style>
  <w:style w:type="paragraph" w:styleId="Heading1">
    <w:name w:val="heading 1"/>
    <w:basedOn w:val="Normal"/>
    <w:next w:val="Normal"/>
    <w:link w:val="Heading1Char"/>
    <w:qFormat/>
    <w:rsid w:val="00C57F4D"/>
    <w:pPr>
      <w:keepNext/>
      <w:spacing w:after="0" w:line="240" w:lineRule="auto"/>
      <w:outlineLvl w:val="0"/>
    </w:pPr>
    <w:rPr>
      <w:rFonts w:ascii="Zap-Chance" w:eastAsia="Times New Roman" w:hAnsi="Zap-Chance" w:cs="Times New Roman"/>
      <w:color w:val="0000FF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68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F4D"/>
  </w:style>
  <w:style w:type="paragraph" w:styleId="Footer">
    <w:name w:val="footer"/>
    <w:basedOn w:val="Normal"/>
    <w:link w:val="FooterChar"/>
    <w:uiPriority w:val="99"/>
    <w:unhideWhenUsed/>
    <w:rsid w:val="00C5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4D"/>
  </w:style>
  <w:style w:type="character" w:customStyle="1" w:styleId="Heading1Char">
    <w:name w:val="Heading 1 Char"/>
    <w:basedOn w:val="DefaultParagraphFont"/>
    <w:link w:val="Heading1"/>
    <w:rsid w:val="00C57F4D"/>
    <w:rPr>
      <w:rFonts w:ascii="Zap-Chance" w:eastAsia="Times New Roman" w:hAnsi="Zap-Chance" w:cs="Times New Roman"/>
      <w:color w:val="0000FF"/>
      <w:sz w:val="72"/>
      <w:szCs w:val="20"/>
    </w:rPr>
  </w:style>
  <w:style w:type="paragraph" w:styleId="ListParagraph">
    <w:name w:val="List Paragraph"/>
    <w:basedOn w:val="Normal"/>
    <w:uiPriority w:val="34"/>
    <w:qFormat/>
    <w:rsid w:val="00F86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40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4015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rsid w:val="000E38EC"/>
    <w:pPr>
      <w:spacing w:after="220" w:line="180" w:lineRule="atLeast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E38EC"/>
    <w:rPr>
      <w:rFonts w:ascii="Arial" w:eastAsia="Times New Roman" w:hAnsi="Arial" w:cs="Times New Roman"/>
      <w:spacing w:val="-5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073C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73C63"/>
  </w:style>
  <w:style w:type="paragraph" w:styleId="NoSpacing">
    <w:name w:val="No Spacing"/>
    <w:uiPriority w:val="1"/>
    <w:qFormat/>
    <w:rsid w:val="00811BF6"/>
    <w:pPr>
      <w:spacing w:after="0" w:line="240" w:lineRule="auto"/>
    </w:pPr>
  </w:style>
  <w:style w:type="paragraph" w:customStyle="1" w:styleId="Style0">
    <w:name w:val="Style0"/>
    <w:rsid w:val="004C32AC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B4"/>
  </w:style>
  <w:style w:type="paragraph" w:styleId="Heading1">
    <w:name w:val="heading 1"/>
    <w:basedOn w:val="Normal"/>
    <w:next w:val="Normal"/>
    <w:link w:val="Heading1Char"/>
    <w:qFormat/>
    <w:rsid w:val="00C57F4D"/>
    <w:pPr>
      <w:keepNext/>
      <w:spacing w:after="0" w:line="240" w:lineRule="auto"/>
      <w:outlineLvl w:val="0"/>
    </w:pPr>
    <w:rPr>
      <w:rFonts w:ascii="Zap-Chance" w:eastAsia="Times New Roman" w:hAnsi="Zap-Chance" w:cs="Times New Roman"/>
      <w:color w:val="0000FF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68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F4D"/>
  </w:style>
  <w:style w:type="paragraph" w:styleId="Footer">
    <w:name w:val="footer"/>
    <w:basedOn w:val="Normal"/>
    <w:link w:val="FooterChar"/>
    <w:uiPriority w:val="99"/>
    <w:unhideWhenUsed/>
    <w:rsid w:val="00C5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4D"/>
  </w:style>
  <w:style w:type="character" w:customStyle="1" w:styleId="Heading1Char">
    <w:name w:val="Heading 1 Char"/>
    <w:basedOn w:val="DefaultParagraphFont"/>
    <w:link w:val="Heading1"/>
    <w:rsid w:val="00C57F4D"/>
    <w:rPr>
      <w:rFonts w:ascii="Zap-Chance" w:eastAsia="Times New Roman" w:hAnsi="Zap-Chance" w:cs="Times New Roman"/>
      <w:color w:val="0000FF"/>
      <w:sz w:val="72"/>
      <w:szCs w:val="20"/>
    </w:rPr>
  </w:style>
  <w:style w:type="paragraph" w:styleId="ListParagraph">
    <w:name w:val="List Paragraph"/>
    <w:basedOn w:val="Normal"/>
    <w:uiPriority w:val="34"/>
    <w:qFormat/>
    <w:rsid w:val="00F86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40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4015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rsid w:val="000E38EC"/>
    <w:pPr>
      <w:spacing w:after="220" w:line="180" w:lineRule="atLeast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E38EC"/>
    <w:rPr>
      <w:rFonts w:ascii="Arial" w:eastAsia="Times New Roman" w:hAnsi="Arial" w:cs="Times New Roman"/>
      <w:spacing w:val="-5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073C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73C63"/>
  </w:style>
  <w:style w:type="paragraph" w:styleId="NoSpacing">
    <w:name w:val="No Spacing"/>
    <w:uiPriority w:val="1"/>
    <w:qFormat/>
    <w:rsid w:val="00811BF6"/>
    <w:pPr>
      <w:spacing w:after="0" w:line="240" w:lineRule="auto"/>
    </w:pPr>
  </w:style>
  <w:style w:type="paragraph" w:customStyle="1" w:styleId="Style0">
    <w:name w:val="Style0"/>
    <w:rsid w:val="004C32AC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1A50-07D4-4B51-A96B-52321902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Deerfield Public School District 109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Gwynne Kell</dc:creator>
  <cp:lastModifiedBy>Lisa Johnson</cp:lastModifiedBy>
  <cp:revision>2</cp:revision>
  <cp:lastPrinted>2015-06-01T18:30:00Z</cp:lastPrinted>
  <dcterms:created xsi:type="dcterms:W3CDTF">2015-06-22T14:37:00Z</dcterms:created>
  <dcterms:modified xsi:type="dcterms:W3CDTF">2015-06-22T14:37:00Z</dcterms:modified>
</cp:coreProperties>
</file>